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4FEE620E"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775A31">
        <w:rPr>
          <w:rFonts w:eastAsia="Times New Roman" w:cs="Times New Roman"/>
          <w:sz w:val="22"/>
          <w:szCs w:val="22"/>
          <w:lang w:eastAsia="pl-PL"/>
        </w:rPr>
        <w:t>0</w:t>
      </w:r>
      <w:r w:rsidR="009E0124">
        <w:rPr>
          <w:rFonts w:eastAsia="Times New Roman" w:cs="Times New Roman"/>
          <w:sz w:val="22"/>
          <w:szCs w:val="22"/>
          <w:lang w:eastAsia="pl-PL"/>
        </w:rPr>
        <w:t>6</w:t>
      </w:r>
      <w:r w:rsidRPr="00CE29AA">
        <w:rPr>
          <w:rFonts w:eastAsia="Times New Roman" w:cs="Times New Roman"/>
          <w:sz w:val="22"/>
          <w:szCs w:val="22"/>
          <w:lang w:eastAsia="pl-PL"/>
        </w:rPr>
        <w:t>.</w:t>
      </w:r>
      <w:r w:rsidR="00775A31">
        <w:rPr>
          <w:rFonts w:eastAsia="Times New Roman" w:cs="Times New Roman"/>
          <w:sz w:val="22"/>
          <w:szCs w:val="22"/>
          <w:lang w:eastAsia="pl-PL"/>
        </w:rPr>
        <w:t>12</w:t>
      </w:r>
      <w:r w:rsidR="00CE29AA" w:rsidRPr="00CE29AA">
        <w:rPr>
          <w:rFonts w:eastAsia="Times New Roman" w:cs="Times New Roman"/>
          <w:sz w:val="22"/>
          <w:szCs w:val="22"/>
          <w:lang w:eastAsia="pl-PL"/>
        </w:rPr>
        <w:t>.2018</w:t>
      </w:r>
      <w:r w:rsidRPr="00CE29AA">
        <w:rPr>
          <w:rFonts w:eastAsia="Times New Roman" w:cs="Times New Roman"/>
          <w:sz w:val="22"/>
          <w:szCs w:val="22"/>
          <w:lang w:eastAsia="pl-PL"/>
        </w:rPr>
        <w:t xml:space="preserve"> r.</w:t>
      </w:r>
    </w:p>
    <w:p w14:paraId="3B56166B"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4A56F38B" w14:textId="6FD49579"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dostawę </w:t>
      </w:r>
      <w:r w:rsidR="00C779EC" w:rsidRPr="00CE29AA">
        <w:rPr>
          <w:rFonts w:eastAsia="Times New Roman" w:cs="Times New Roman"/>
          <w:b/>
          <w:sz w:val="22"/>
          <w:szCs w:val="22"/>
          <w:lang w:eastAsia="pl-PL"/>
        </w:rPr>
        <w:t>środków dezynfekcyjnych</w:t>
      </w:r>
      <w:r w:rsidRPr="00CE29AA">
        <w:rPr>
          <w:rFonts w:eastAsia="Times New Roman" w:cs="Times New Roman"/>
          <w:b/>
          <w:sz w:val="22"/>
          <w:szCs w:val="22"/>
          <w:lang w:eastAsia="pl-PL"/>
        </w:rPr>
        <w:t xml:space="preserve"> Regionalnego Szpitala w Kołobrzegu</w:t>
      </w:r>
    </w:p>
    <w:p w14:paraId="04C9FD0F"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3FDC898" w14:textId="7EBDF9E0"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46139" w:rsidRPr="00CE29AA">
        <w:rPr>
          <w:rFonts w:eastAsia="Times New Roman" w:cs="Times New Roman"/>
          <w:sz w:val="22"/>
          <w:szCs w:val="22"/>
          <w:lang w:eastAsia="pl-PL"/>
        </w:rPr>
        <w:t>0</w:t>
      </w:r>
      <w:r w:rsidR="0052052D">
        <w:rPr>
          <w:rFonts w:eastAsia="Times New Roman" w:cs="Times New Roman"/>
          <w:sz w:val="22"/>
          <w:szCs w:val="22"/>
          <w:lang w:eastAsia="pl-PL"/>
        </w:rPr>
        <w:t>6</w:t>
      </w:r>
      <w:r w:rsidR="00646139" w:rsidRPr="00CE29AA">
        <w:rPr>
          <w:rFonts w:eastAsia="Times New Roman" w:cs="Times New Roman"/>
          <w:sz w:val="22"/>
          <w:szCs w:val="22"/>
          <w:lang w:eastAsia="pl-PL"/>
        </w:rPr>
        <w:t>.</w:t>
      </w:r>
      <w:r w:rsidR="00775A31">
        <w:rPr>
          <w:rFonts w:eastAsia="Times New Roman" w:cs="Times New Roman"/>
          <w:sz w:val="22"/>
          <w:szCs w:val="22"/>
          <w:lang w:eastAsia="pl-PL"/>
        </w:rPr>
        <w:t>12</w:t>
      </w:r>
      <w:r w:rsidRPr="00CE29AA">
        <w:rPr>
          <w:rFonts w:eastAsia="Times New Roman" w:cs="Times New Roman"/>
          <w:sz w:val="22"/>
          <w:szCs w:val="22"/>
          <w:lang w:eastAsia="pl-PL"/>
        </w:rPr>
        <w:t>.201</w:t>
      </w:r>
      <w:r w:rsidR="00CE29AA" w:rsidRPr="00CE29AA">
        <w:rPr>
          <w:rFonts w:eastAsia="Times New Roman" w:cs="Times New Roman"/>
          <w:sz w:val="22"/>
          <w:szCs w:val="22"/>
          <w:lang w:eastAsia="pl-PL"/>
        </w:rPr>
        <w:t>8</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3450FA24" w14:textId="77777777" w:rsidR="009E0124" w:rsidRPr="009E0124" w:rsidRDefault="009E0124" w:rsidP="009E0124">
      <w:pPr>
        <w:numPr>
          <w:ilvl w:val="0"/>
          <w:numId w:val="17"/>
        </w:numPr>
        <w:suppressAutoHyphens/>
        <w:autoSpaceDN w:val="0"/>
        <w:jc w:val="both"/>
        <w:textAlignment w:val="baseline"/>
        <w:rPr>
          <w:rFonts w:eastAsia="Calibri" w:cs="Times New Roman"/>
          <w:sz w:val="22"/>
          <w:szCs w:val="22"/>
        </w:rPr>
      </w:pPr>
      <w:r w:rsidRPr="009E0124">
        <w:rPr>
          <w:rFonts w:eastAsia="Calibri" w:cs="Times New Roman"/>
          <w:sz w:val="22"/>
          <w:szCs w:val="22"/>
        </w:rPr>
        <w:t xml:space="preserve">Czy w pakiecie nr 2 poz. 1 – Zamawiający mógłby dopuścić preparat do szybkiej i skutecznej dezynfekcji małych, trudno dostępnych powierzchni i wyrobów medycznych w koncentracie, na bazie etanolu, zawierający w swoim składzie niejonowe związki powierzchniowo czynne, niezawierający substancji zapachowych, o spektrum działania B EN 13727 (łącznie MRSA), </w:t>
      </w:r>
      <w:proofErr w:type="spellStart"/>
      <w:r w:rsidRPr="009E0124">
        <w:rPr>
          <w:rFonts w:eastAsia="Calibri" w:cs="Times New Roman"/>
          <w:sz w:val="22"/>
          <w:szCs w:val="22"/>
        </w:rPr>
        <w:t>Tbc</w:t>
      </w:r>
      <w:proofErr w:type="spellEnd"/>
      <w:r w:rsidRPr="009E0124">
        <w:rPr>
          <w:rFonts w:eastAsia="Calibri" w:cs="Times New Roman"/>
          <w:sz w:val="22"/>
          <w:szCs w:val="22"/>
        </w:rPr>
        <w:t xml:space="preserve"> EN 14348, F (C. </w:t>
      </w:r>
      <w:proofErr w:type="spellStart"/>
      <w:r w:rsidRPr="009E0124">
        <w:rPr>
          <w:rFonts w:eastAsia="Calibri" w:cs="Times New Roman"/>
          <w:sz w:val="22"/>
          <w:szCs w:val="22"/>
        </w:rPr>
        <w:t>albicans</w:t>
      </w:r>
      <w:proofErr w:type="spellEnd"/>
      <w:r w:rsidRPr="009E0124">
        <w:rPr>
          <w:rFonts w:eastAsia="Calibri" w:cs="Times New Roman"/>
          <w:sz w:val="22"/>
          <w:szCs w:val="22"/>
        </w:rPr>
        <w:t>) EN 13624, V (</w:t>
      </w:r>
      <w:proofErr w:type="spellStart"/>
      <w:r w:rsidRPr="009E0124">
        <w:rPr>
          <w:rFonts w:eastAsia="Calibri" w:cs="Times New Roman"/>
          <w:sz w:val="22"/>
          <w:szCs w:val="22"/>
        </w:rPr>
        <w:t>Adeno</w:t>
      </w:r>
      <w:proofErr w:type="spellEnd"/>
      <w:r w:rsidRPr="009E0124">
        <w:rPr>
          <w:rFonts w:eastAsia="Calibri" w:cs="Times New Roman"/>
          <w:sz w:val="22"/>
          <w:szCs w:val="22"/>
        </w:rPr>
        <w:t>, Polio, Rota, Noro) EN 14476 w czasie 1 min., który może być  stosowany do powierzchni mających kontakt z żywnością?</w:t>
      </w:r>
    </w:p>
    <w:p w14:paraId="21991963" w14:textId="592808C0" w:rsidR="009E0124" w:rsidRPr="009E0124" w:rsidRDefault="009E0124" w:rsidP="009E0124">
      <w:pPr>
        <w:suppressAutoHyphens/>
        <w:autoSpaceDN w:val="0"/>
        <w:jc w:val="both"/>
        <w:textAlignment w:val="baseline"/>
        <w:rPr>
          <w:rFonts w:eastAsia="Calibri" w:cs="Times New Roman"/>
          <w:b/>
          <w:sz w:val="22"/>
          <w:szCs w:val="22"/>
        </w:rPr>
      </w:pPr>
      <w:r w:rsidRPr="009E0124">
        <w:rPr>
          <w:rFonts w:eastAsia="Calibri" w:cs="Times New Roman"/>
          <w:b/>
          <w:sz w:val="22"/>
          <w:szCs w:val="22"/>
        </w:rPr>
        <w:t xml:space="preserve">Odp. Zamawiający dopuści preparat do szybkiej i skutecznej dezynfekcji małych, trudno dostępnych powierzchni i wyrobów medycznych w koncentracie, na bazie etanolu, zawierający w swoim składzie niejonowe związki powierzchniowo czynne, niezawierający substancji zapachowych, o spektrum działania B EN 13727 (łącznie MRSA), </w:t>
      </w:r>
      <w:proofErr w:type="spellStart"/>
      <w:r w:rsidRPr="009E0124">
        <w:rPr>
          <w:rFonts w:eastAsia="Calibri" w:cs="Times New Roman"/>
          <w:b/>
          <w:sz w:val="22"/>
          <w:szCs w:val="22"/>
        </w:rPr>
        <w:t>Tbc</w:t>
      </w:r>
      <w:proofErr w:type="spellEnd"/>
      <w:r w:rsidRPr="009E0124">
        <w:rPr>
          <w:rFonts w:eastAsia="Calibri" w:cs="Times New Roman"/>
          <w:b/>
          <w:sz w:val="22"/>
          <w:szCs w:val="22"/>
        </w:rPr>
        <w:t xml:space="preserve"> EN 14348, F (C. </w:t>
      </w:r>
      <w:proofErr w:type="spellStart"/>
      <w:r w:rsidRPr="009E0124">
        <w:rPr>
          <w:rFonts w:eastAsia="Calibri" w:cs="Times New Roman"/>
          <w:b/>
          <w:sz w:val="22"/>
          <w:szCs w:val="22"/>
        </w:rPr>
        <w:t>albicans</w:t>
      </w:r>
      <w:proofErr w:type="spellEnd"/>
      <w:r w:rsidRPr="009E0124">
        <w:rPr>
          <w:rFonts w:eastAsia="Calibri" w:cs="Times New Roman"/>
          <w:b/>
          <w:sz w:val="22"/>
          <w:szCs w:val="22"/>
        </w:rPr>
        <w:t>) EN 13624, V (</w:t>
      </w:r>
      <w:proofErr w:type="spellStart"/>
      <w:r w:rsidRPr="009E0124">
        <w:rPr>
          <w:rFonts w:eastAsia="Calibri" w:cs="Times New Roman"/>
          <w:b/>
          <w:sz w:val="22"/>
          <w:szCs w:val="22"/>
        </w:rPr>
        <w:t>Adeno</w:t>
      </w:r>
      <w:proofErr w:type="spellEnd"/>
      <w:r w:rsidRPr="009E0124">
        <w:rPr>
          <w:rFonts w:eastAsia="Calibri" w:cs="Times New Roman"/>
          <w:b/>
          <w:sz w:val="22"/>
          <w:szCs w:val="22"/>
        </w:rPr>
        <w:t xml:space="preserve">, Polio, Rota, Noro) EN 14476 w czasie 1 min., który może być  stosowany do powierzchni mających kontakt </w:t>
      </w:r>
      <w:r w:rsidR="0052052D">
        <w:rPr>
          <w:rFonts w:eastAsia="Calibri" w:cs="Times New Roman"/>
          <w:b/>
          <w:sz w:val="22"/>
          <w:szCs w:val="22"/>
        </w:rPr>
        <w:br/>
      </w:r>
      <w:r w:rsidRPr="009E0124">
        <w:rPr>
          <w:rFonts w:eastAsia="Calibri" w:cs="Times New Roman"/>
          <w:b/>
          <w:sz w:val="22"/>
          <w:szCs w:val="22"/>
        </w:rPr>
        <w:t>z żywnością, pod warunkiem spełnienia wszystkich pozostałych wymagań zawartych w SIWZ.</w:t>
      </w:r>
    </w:p>
    <w:p w14:paraId="096FAA6F" w14:textId="33AE3602" w:rsidR="009E0124" w:rsidRPr="009E0124" w:rsidRDefault="009E0124" w:rsidP="009E0124">
      <w:pPr>
        <w:pStyle w:val="Akapitzlist"/>
        <w:numPr>
          <w:ilvl w:val="0"/>
          <w:numId w:val="17"/>
        </w:numPr>
        <w:suppressAutoHyphens/>
        <w:autoSpaceDN w:val="0"/>
        <w:jc w:val="both"/>
        <w:textAlignment w:val="baseline"/>
        <w:rPr>
          <w:rFonts w:eastAsia="Calibri" w:cs="Times New Roman"/>
          <w:sz w:val="22"/>
          <w:szCs w:val="22"/>
        </w:rPr>
      </w:pPr>
      <w:r w:rsidRPr="009E0124">
        <w:rPr>
          <w:rFonts w:eastAsia="Calibri" w:cs="Times New Roman"/>
          <w:sz w:val="22"/>
          <w:szCs w:val="22"/>
        </w:rPr>
        <w:t>Czy w pakiecie nr 2 poz. 2 – Zamawiający mógłby dopuścić bezalkoholowy, płynny gotowy do użycia środek na bazie czwartorzędowych związków amoniowych, przeznaczony do szybkiej dezynfekcji i mycia urządzeń medycznych oraz wszelkiego rodzaju powierzchni, szczególnie wrażliwych na działanie alkoholu tj. szkło akrylowe i głowice USG, o spektrum działania B, MRSA, F do 1 minuty, V (</w:t>
      </w:r>
      <w:proofErr w:type="spellStart"/>
      <w:r w:rsidRPr="009E0124">
        <w:rPr>
          <w:rFonts w:eastAsia="Calibri" w:cs="Times New Roman"/>
          <w:sz w:val="22"/>
          <w:szCs w:val="22"/>
        </w:rPr>
        <w:t>Vaccinia</w:t>
      </w:r>
      <w:proofErr w:type="spellEnd"/>
      <w:r w:rsidRPr="009E0124">
        <w:rPr>
          <w:rFonts w:eastAsia="Calibri" w:cs="Times New Roman"/>
          <w:sz w:val="22"/>
          <w:szCs w:val="22"/>
        </w:rPr>
        <w:t xml:space="preserve">, HBV, HIV, HCV/BVDV, Rota, wirus grypy) 30 sek., </w:t>
      </w:r>
      <w:proofErr w:type="spellStart"/>
      <w:r w:rsidRPr="009E0124">
        <w:rPr>
          <w:rFonts w:eastAsia="Calibri" w:cs="Times New Roman"/>
          <w:sz w:val="22"/>
          <w:szCs w:val="22"/>
        </w:rPr>
        <w:t>Polyoma</w:t>
      </w:r>
      <w:proofErr w:type="spellEnd"/>
      <w:r w:rsidRPr="009E0124">
        <w:rPr>
          <w:rFonts w:eastAsia="Calibri" w:cs="Times New Roman"/>
          <w:sz w:val="22"/>
          <w:szCs w:val="22"/>
        </w:rPr>
        <w:t xml:space="preserve"> wg. normy EN 14476 – do 2 minut, o </w:t>
      </w:r>
      <w:proofErr w:type="spellStart"/>
      <w:r w:rsidRPr="009E0124">
        <w:rPr>
          <w:rFonts w:eastAsia="Calibri" w:cs="Times New Roman"/>
          <w:sz w:val="22"/>
          <w:szCs w:val="22"/>
        </w:rPr>
        <w:t>ph</w:t>
      </w:r>
      <w:proofErr w:type="spellEnd"/>
      <w:r w:rsidRPr="009E0124">
        <w:rPr>
          <w:rFonts w:eastAsia="Calibri" w:cs="Times New Roman"/>
          <w:sz w:val="22"/>
          <w:szCs w:val="22"/>
        </w:rPr>
        <w:t xml:space="preserve"> koncentratu 6-8, może być stosowany do powierzchni mających kontakt z żywnością, dozowany również za pomocą piany?</w:t>
      </w:r>
    </w:p>
    <w:p w14:paraId="1BEA1208" w14:textId="77777777" w:rsidR="009E0124" w:rsidRPr="009E0124" w:rsidRDefault="009E0124" w:rsidP="009E0124">
      <w:pPr>
        <w:suppressAutoHyphens/>
        <w:autoSpaceDN w:val="0"/>
        <w:jc w:val="both"/>
        <w:textAlignment w:val="baseline"/>
        <w:rPr>
          <w:rFonts w:eastAsia="Calibri" w:cs="Times New Roman"/>
          <w:b/>
          <w:sz w:val="22"/>
          <w:szCs w:val="22"/>
        </w:rPr>
      </w:pPr>
      <w:r w:rsidRPr="009E0124">
        <w:rPr>
          <w:rFonts w:eastAsia="Calibri" w:cs="Times New Roman"/>
          <w:b/>
          <w:sz w:val="22"/>
          <w:szCs w:val="22"/>
        </w:rPr>
        <w:t>Odp. Zgodnie z SIWZ</w:t>
      </w:r>
    </w:p>
    <w:p w14:paraId="2BF8BC40" w14:textId="6FE489AF" w:rsidR="009E0124" w:rsidRPr="009E0124" w:rsidRDefault="009E0124" w:rsidP="009E0124">
      <w:pPr>
        <w:pStyle w:val="Akapitzlist"/>
        <w:numPr>
          <w:ilvl w:val="0"/>
          <w:numId w:val="17"/>
        </w:numPr>
        <w:suppressAutoHyphens/>
        <w:autoSpaceDN w:val="0"/>
        <w:jc w:val="both"/>
        <w:textAlignment w:val="baseline"/>
        <w:rPr>
          <w:rFonts w:eastAsia="Calibri" w:cs="Times New Roman"/>
          <w:sz w:val="22"/>
          <w:szCs w:val="22"/>
        </w:rPr>
      </w:pPr>
      <w:r w:rsidRPr="009E0124">
        <w:rPr>
          <w:rFonts w:eastAsia="Calibri" w:cs="Times New Roman"/>
          <w:sz w:val="22"/>
          <w:szCs w:val="22"/>
        </w:rPr>
        <w:t>Czy w pakiecie nr 2 poz. 3 i 4 – Zamawiający mógłby dopuścić chusteczki do szybkiej dezynfekcji i mycia małych powierzchni i wyrobów medycznych włącznie z  głowicami USG i optykami endoskopowymi na bazie czwartorzędowych związków amonowych, o spektrum działania  B</w:t>
      </w:r>
      <w:r>
        <w:rPr>
          <w:rFonts w:eastAsia="Calibri" w:cs="Times New Roman"/>
          <w:sz w:val="22"/>
          <w:szCs w:val="22"/>
        </w:rPr>
        <w:t xml:space="preserve"> </w:t>
      </w:r>
      <w:r w:rsidRPr="009E0124">
        <w:rPr>
          <w:rFonts w:eastAsia="Calibri" w:cs="Times New Roman"/>
          <w:sz w:val="22"/>
          <w:szCs w:val="22"/>
        </w:rPr>
        <w:t xml:space="preserve">(łącznie z MRSA), F w czasie do 1 min., V (HBV, HIV, HCV, Rota, </w:t>
      </w:r>
      <w:proofErr w:type="spellStart"/>
      <w:r w:rsidRPr="009E0124">
        <w:rPr>
          <w:rFonts w:eastAsia="Calibri" w:cs="Times New Roman"/>
          <w:sz w:val="22"/>
          <w:szCs w:val="22"/>
        </w:rPr>
        <w:t>Vaccinia</w:t>
      </w:r>
      <w:proofErr w:type="spellEnd"/>
      <w:r w:rsidRPr="009E0124">
        <w:rPr>
          <w:rFonts w:eastAsia="Calibri" w:cs="Times New Roman"/>
          <w:sz w:val="22"/>
          <w:szCs w:val="22"/>
        </w:rPr>
        <w:t xml:space="preserve">) w czasie 30 sek., </w:t>
      </w:r>
      <w:proofErr w:type="spellStart"/>
      <w:r w:rsidRPr="009E0124">
        <w:rPr>
          <w:rFonts w:eastAsia="Calibri" w:cs="Times New Roman"/>
          <w:sz w:val="22"/>
          <w:szCs w:val="22"/>
        </w:rPr>
        <w:t>Papova</w:t>
      </w:r>
      <w:proofErr w:type="spellEnd"/>
      <w:r w:rsidRPr="009E0124">
        <w:rPr>
          <w:rFonts w:eastAsia="Calibri" w:cs="Times New Roman"/>
          <w:sz w:val="22"/>
          <w:szCs w:val="22"/>
        </w:rPr>
        <w:t xml:space="preserve">/ </w:t>
      </w:r>
      <w:proofErr w:type="spellStart"/>
      <w:r w:rsidRPr="009E0124">
        <w:rPr>
          <w:rFonts w:eastAsia="Calibri" w:cs="Times New Roman"/>
          <w:sz w:val="22"/>
          <w:szCs w:val="22"/>
        </w:rPr>
        <w:t>Polyoma</w:t>
      </w:r>
      <w:proofErr w:type="spellEnd"/>
      <w:r w:rsidRPr="009E0124">
        <w:rPr>
          <w:rFonts w:eastAsia="Calibri" w:cs="Times New Roman"/>
          <w:sz w:val="22"/>
          <w:szCs w:val="22"/>
        </w:rPr>
        <w:t xml:space="preserve"> - 2 min., posiadające opinię dermatologiczną oraz pozytywną opinię  producentów urządzeń ultrasonograficznych, pakowane po 100 szt. chusteczek o wymiarach 14 cm x 20 cm </w:t>
      </w:r>
      <w:r w:rsidR="0052052D">
        <w:rPr>
          <w:rFonts w:eastAsia="Calibri" w:cs="Times New Roman"/>
          <w:sz w:val="22"/>
          <w:szCs w:val="22"/>
        </w:rPr>
        <w:br/>
      </w:r>
      <w:r w:rsidRPr="009E0124">
        <w:rPr>
          <w:rFonts w:eastAsia="Calibri" w:cs="Times New Roman"/>
          <w:sz w:val="22"/>
          <w:szCs w:val="22"/>
        </w:rPr>
        <w:t>o gramaturze 18g/m2 wykonanych z polipropylenu?</w:t>
      </w:r>
    </w:p>
    <w:p w14:paraId="005ABAFF" w14:textId="77777777" w:rsidR="009E0124" w:rsidRPr="009E0124" w:rsidRDefault="009E0124" w:rsidP="009E0124">
      <w:pPr>
        <w:suppressAutoHyphens/>
        <w:autoSpaceDN w:val="0"/>
        <w:ind w:left="5761" w:hanging="5761"/>
        <w:textAlignment w:val="baseline"/>
        <w:rPr>
          <w:rFonts w:eastAsia="Calibri" w:cs="Arial"/>
          <w:b/>
          <w:sz w:val="22"/>
          <w:szCs w:val="22"/>
        </w:rPr>
      </w:pPr>
      <w:r w:rsidRPr="009E0124">
        <w:rPr>
          <w:rFonts w:eastAsia="Calibri" w:cs="Arial"/>
          <w:b/>
          <w:sz w:val="22"/>
          <w:szCs w:val="22"/>
        </w:rPr>
        <w:t>Odp. Zgodnie z SIWZ</w:t>
      </w:r>
    </w:p>
    <w:p w14:paraId="19878ED0" w14:textId="77777777" w:rsidR="007606FA" w:rsidRPr="0052052D" w:rsidRDefault="007606FA" w:rsidP="0052052D">
      <w:pPr>
        <w:pStyle w:val="Akapitzlist"/>
        <w:numPr>
          <w:ilvl w:val="0"/>
          <w:numId w:val="17"/>
        </w:numPr>
        <w:rPr>
          <w:rFonts w:eastAsia="Calibri" w:cs="Times New Roman"/>
          <w:sz w:val="22"/>
          <w:szCs w:val="22"/>
          <w:lang w:eastAsia="pl-PL"/>
        </w:rPr>
      </w:pPr>
      <w:r w:rsidRPr="0052052D">
        <w:rPr>
          <w:rFonts w:eastAsia="Calibri" w:cs="Times New Roman"/>
          <w:sz w:val="22"/>
          <w:szCs w:val="22"/>
          <w:lang w:eastAsia="pl-PL"/>
        </w:rPr>
        <w:t>Pytanie 1</w:t>
      </w:r>
    </w:p>
    <w:p w14:paraId="007E7C76" w14:textId="77777777" w:rsidR="007606FA" w:rsidRPr="007606FA" w:rsidRDefault="007606FA" w:rsidP="0052052D">
      <w:pPr>
        <w:ind w:firstLine="360"/>
        <w:jc w:val="both"/>
        <w:rPr>
          <w:rFonts w:eastAsia="Calibri" w:cs="Times New Roman"/>
          <w:sz w:val="22"/>
          <w:szCs w:val="22"/>
          <w:lang w:eastAsia="pl-PL"/>
        </w:rPr>
      </w:pPr>
      <w:r w:rsidRPr="007606FA">
        <w:rPr>
          <w:rFonts w:eastAsia="Calibri" w:cs="Times New Roman"/>
          <w:sz w:val="22"/>
          <w:szCs w:val="22"/>
          <w:lang w:eastAsia="pl-PL"/>
        </w:rPr>
        <w:t>Czy Zamawiający wydzieli do osobnego Zadania produkty z Zadania 2 poz. 3 i 4 i dopuści:</w:t>
      </w:r>
    </w:p>
    <w:p w14:paraId="01565671" w14:textId="2D82F9E8" w:rsidR="0052052D"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 xml:space="preserve">Chusteczki bezalkoholowe na bazie czwartorzędowych związków amoniowych (skład: 0,26g chlorek benzylo-C12-16-alkilodimetylowy, 0,26g chlorek </w:t>
      </w:r>
      <w:proofErr w:type="spellStart"/>
      <w:r w:rsidRPr="007606FA">
        <w:rPr>
          <w:rFonts w:eastAsia="Calibri" w:cs="Times New Roman"/>
          <w:sz w:val="22"/>
          <w:szCs w:val="22"/>
          <w:lang w:eastAsia="pl-PL"/>
        </w:rPr>
        <w:t>didecylodimetyloamoniowy</w:t>
      </w:r>
      <w:proofErr w:type="spellEnd"/>
      <w:r w:rsidRPr="007606FA">
        <w:rPr>
          <w:rFonts w:eastAsia="Calibri" w:cs="Times New Roman"/>
          <w:sz w:val="22"/>
          <w:szCs w:val="22"/>
          <w:lang w:eastAsia="pl-PL"/>
        </w:rPr>
        <w:t xml:space="preserve">, 0,26g czwartorzędowe związki amoniowe, chlorek </w:t>
      </w:r>
      <w:proofErr w:type="spellStart"/>
      <w:r w:rsidRPr="007606FA">
        <w:rPr>
          <w:rFonts w:eastAsia="Calibri" w:cs="Times New Roman"/>
          <w:sz w:val="22"/>
          <w:szCs w:val="22"/>
          <w:lang w:eastAsia="pl-PL"/>
        </w:rPr>
        <w:t>benzylo</w:t>
      </w:r>
      <w:proofErr w:type="spellEnd"/>
      <w:r w:rsidRPr="007606FA">
        <w:rPr>
          <w:rFonts w:eastAsia="Calibri" w:cs="Times New Roman"/>
          <w:sz w:val="22"/>
          <w:szCs w:val="22"/>
          <w:lang w:eastAsia="pl-PL"/>
        </w:rPr>
        <w:t xml:space="preserve"> C12-14-alkilo[(</w:t>
      </w:r>
      <w:proofErr w:type="spellStart"/>
      <w:r w:rsidRPr="007606FA">
        <w:rPr>
          <w:rFonts w:eastAsia="Calibri" w:cs="Times New Roman"/>
          <w:sz w:val="22"/>
          <w:szCs w:val="22"/>
          <w:lang w:eastAsia="pl-PL"/>
        </w:rPr>
        <w:t>etylofenylo</w:t>
      </w:r>
      <w:proofErr w:type="spellEnd"/>
      <w:r w:rsidRPr="007606FA">
        <w:rPr>
          <w:rFonts w:eastAsia="Calibri" w:cs="Times New Roman"/>
          <w:sz w:val="22"/>
          <w:szCs w:val="22"/>
          <w:lang w:eastAsia="pl-PL"/>
        </w:rPr>
        <w:t>)</w:t>
      </w:r>
      <w:proofErr w:type="spellStart"/>
      <w:r w:rsidRPr="007606FA">
        <w:rPr>
          <w:rFonts w:eastAsia="Calibri" w:cs="Times New Roman"/>
          <w:sz w:val="22"/>
          <w:szCs w:val="22"/>
          <w:lang w:eastAsia="pl-PL"/>
        </w:rPr>
        <w:t>metylo</w:t>
      </w:r>
      <w:proofErr w:type="spellEnd"/>
      <w:r w:rsidRPr="007606FA">
        <w:rPr>
          <w:rFonts w:eastAsia="Calibri" w:cs="Times New Roman"/>
          <w:sz w:val="22"/>
          <w:szCs w:val="22"/>
          <w:lang w:eastAsia="pl-PL"/>
        </w:rPr>
        <w:t xml:space="preserve">] </w:t>
      </w:r>
      <w:proofErr w:type="spellStart"/>
      <w:r w:rsidRPr="007606FA">
        <w:rPr>
          <w:rFonts w:eastAsia="Calibri" w:cs="Times New Roman"/>
          <w:sz w:val="22"/>
          <w:szCs w:val="22"/>
          <w:lang w:eastAsia="pl-PL"/>
        </w:rPr>
        <w:t>dimetylowy</w:t>
      </w:r>
      <w:proofErr w:type="spellEnd"/>
      <w:r w:rsidRPr="007606FA">
        <w:rPr>
          <w:rFonts w:eastAsia="Calibri" w:cs="Times New Roman"/>
          <w:sz w:val="22"/>
          <w:szCs w:val="22"/>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w:t>
      </w:r>
      <w:r w:rsidRPr="007606FA">
        <w:rPr>
          <w:rFonts w:eastAsia="Calibri" w:cs="Times New Roman"/>
          <w:sz w:val="22"/>
          <w:szCs w:val="22"/>
          <w:lang w:eastAsia="pl-PL"/>
        </w:rPr>
        <w:lastRenderedPageBreak/>
        <w:t xml:space="preserve">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7606FA">
        <w:rPr>
          <w:rFonts w:eastAsia="Calibri" w:cs="Times New Roman"/>
          <w:sz w:val="22"/>
          <w:szCs w:val="22"/>
          <w:lang w:eastAsia="pl-PL"/>
        </w:rPr>
        <w:t>albicans</w:t>
      </w:r>
      <w:proofErr w:type="spellEnd"/>
      <w:r w:rsidRPr="007606FA">
        <w:rPr>
          <w:rFonts w:eastAsia="Calibri" w:cs="Times New Roman"/>
          <w:sz w:val="22"/>
          <w:szCs w:val="22"/>
          <w:lang w:eastAsia="pl-PL"/>
        </w:rPr>
        <w:t xml:space="preserve">) w czasie 1 minuty (EN 13624), </w:t>
      </w:r>
      <w:proofErr w:type="spellStart"/>
      <w:r w:rsidRPr="007606FA">
        <w:rPr>
          <w:rFonts w:eastAsia="Calibri" w:cs="Times New Roman"/>
          <w:sz w:val="22"/>
          <w:szCs w:val="22"/>
          <w:lang w:eastAsia="pl-PL"/>
        </w:rPr>
        <w:t>Tbc</w:t>
      </w:r>
      <w:proofErr w:type="spellEnd"/>
      <w:r w:rsidRPr="007606FA">
        <w:rPr>
          <w:rFonts w:eastAsia="Calibri" w:cs="Times New Roman"/>
          <w:sz w:val="22"/>
          <w:szCs w:val="22"/>
          <w:lang w:eastAsia="pl-PL"/>
        </w:rPr>
        <w:t xml:space="preserve"> w czasie 15 minut (EN 14348), V (HIV, HBV, HCV, BVDV, </w:t>
      </w:r>
      <w:proofErr w:type="spellStart"/>
      <w:r w:rsidRPr="007606FA">
        <w:rPr>
          <w:rFonts w:eastAsia="Calibri" w:cs="Times New Roman"/>
          <w:sz w:val="22"/>
          <w:szCs w:val="22"/>
          <w:lang w:eastAsia="pl-PL"/>
        </w:rPr>
        <w:t>Vaccinia</w:t>
      </w:r>
      <w:proofErr w:type="spellEnd"/>
      <w:r w:rsidRPr="007606FA">
        <w:rPr>
          <w:rFonts w:eastAsia="Calibri" w:cs="Times New Roman"/>
          <w:sz w:val="22"/>
          <w:szCs w:val="22"/>
          <w:lang w:eastAsia="pl-PL"/>
        </w:rPr>
        <w:t>, Rota) w czasie 1 minuty (BGA/DVV), V (</w:t>
      </w:r>
      <w:proofErr w:type="spellStart"/>
      <w:r w:rsidRPr="007606FA">
        <w:rPr>
          <w:rFonts w:eastAsia="Calibri" w:cs="Times New Roman"/>
          <w:sz w:val="22"/>
          <w:szCs w:val="22"/>
          <w:lang w:eastAsia="pl-PL"/>
        </w:rPr>
        <w:t>polyoma</w:t>
      </w:r>
      <w:proofErr w:type="spellEnd"/>
      <w:r w:rsidRPr="007606FA">
        <w:rPr>
          <w:rFonts w:eastAsia="Calibri" w:cs="Times New Roman"/>
          <w:sz w:val="22"/>
          <w:szCs w:val="22"/>
          <w:lang w:eastAsia="pl-PL"/>
        </w:rPr>
        <w:t xml:space="preserve"> SV 40)- w czasie 1 minuty (DVV/RKI), V (Noro) w czasie 30 minut (PN EN 14476), wymiar chusteczki 17x23cm, 100 sztuk </w:t>
      </w:r>
      <w:r w:rsidR="0052052D">
        <w:rPr>
          <w:rFonts w:eastAsia="Calibri" w:cs="Times New Roman"/>
          <w:sz w:val="22"/>
          <w:szCs w:val="22"/>
          <w:lang w:eastAsia="pl-PL"/>
        </w:rPr>
        <w:br/>
      </w:r>
      <w:r w:rsidRPr="007606FA">
        <w:rPr>
          <w:rFonts w:eastAsia="Calibri" w:cs="Times New Roman"/>
          <w:sz w:val="22"/>
          <w:szCs w:val="22"/>
          <w:lang w:eastAsia="pl-PL"/>
        </w:rPr>
        <w:t>w opakowaniu typu tuba i wkłady do tuby?</w:t>
      </w:r>
    </w:p>
    <w:p w14:paraId="7D5D7DD6" w14:textId="14BA1286" w:rsidR="0052052D"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lub</w:t>
      </w:r>
      <w:r w:rsidRPr="007606FA">
        <w:rPr>
          <w:rFonts w:eastAsia="Calibri" w:cs="Times New Roman"/>
          <w:sz w:val="22"/>
          <w:szCs w:val="22"/>
          <w:lang w:eastAsia="pl-PL"/>
        </w:rPr>
        <w:br/>
        <w:t xml:space="preserve">Chusteczki bezalkoholowe na bazie czwartorzędowych związków amoniowych (skład: 0,26g chlorek benzylo-C12-16-alkilodimetylowy, 0,26g chlorek </w:t>
      </w:r>
      <w:proofErr w:type="spellStart"/>
      <w:r w:rsidRPr="007606FA">
        <w:rPr>
          <w:rFonts w:eastAsia="Calibri" w:cs="Times New Roman"/>
          <w:sz w:val="22"/>
          <w:szCs w:val="22"/>
          <w:lang w:eastAsia="pl-PL"/>
        </w:rPr>
        <w:t>didecylodimetyloamoniowy</w:t>
      </w:r>
      <w:proofErr w:type="spellEnd"/>
      <w:r w:rsidRPr="007606FA">
        <w:rPr>
          <w:rFonts w:eastAsia="Calibri" w:cs="Times New Roman"/>
          <w:sz w:val="22"/>
          <w:szCs w:val="22"/>
          <w:lang w:eastAsia="pl-PL"/>
        </w:rPr>
        <w:t xml:space="preserve">, 0,26g czwartorzędowe związki amoniowe, chlorek </w:t>
      </w:r>
      <w:proofErr w:type="spellStart"/>
      <w:r w:rsidRPr="007606FA">
        <w:rPr>
          <w:rFonts w:eastAsia="Calibri" w:cs="Times New Roman"/>
          <w:sz w:val="22"/>
          <w:szCs w:val="22"/>
          <w:lang w:eastAsia="pl-PL"/>
        </w:rPr>
        <w:t>benzylo</w:t>
      </w:r>
      <w:proofErr w:type="spellEnd"/>
      <w:r w:rsidRPr="007606FA">
        <w:rPr>
          <w:rFonts w:eastAsia="Calibri" w:cs="Times New Roman"/>
          <w:sz w:val="22"/>
          <w:szCs w:val="22"/>
          <w:lang w:eastAsia="pl-PL"/>
        </w:rPr>
        <w:t xml:space="preserve"> C12-14-alkilo[(</w:t>
      </w:r>
      <w:proofErr w:type="spellStart"/>
      <w:r w:rsidRPr="007606FA">
        <w:rPr>
          <w:rFonts w:eastAsia="Calibri" w:cs="Times New Roman"/>
          <w:sz w:val="22"/>
          <w:szCs w:val="22"/>
          <w:lang w:eastAsia="pl-PL"/>
        </w:rPr>
        <w:t>etylofenylo</w:t>
      </w:r>
      <w:proofErr w:type="spellEnd"/>
      <w:r w:rsidRPr="007606FA">
        <w:rPr>
          <w:rFonts w:eastAsia="Calibri" w:cs="Times New Roman"/>
          <w:sz w:val="22"/>
          <w:szCs w:val="22"/>
          <w:lang w:eastAsia="pl-PL"/>
        </w:rPr>
        <w:t>)</w:t>
      </w:r>
      <w:proofErr w:type="spellStart"/>
      <w:r w:rsidRPr="007606FA">
        <w:rPr>
          <w:rFonts w:eastAsia="Calibri" w:cs="Times New Roman"/>
          <w:sz w:val="22"/>
          <w:szCs w:val="22"/>
          <w:lang w:eastAsia="pl-PL"/>
        </w:rPr>
        <w:t>metylo</w:t>
      </w:r>
      <w:proofErr w:type="spellEnd"/>
      <w:r w:rsidRPr="007606FA">
        <w:rPr>
          <w:rFonts w:eastAsia="Calibri" w:cs="Times New Roman"/>
          <w:sz w:val="22"/>
          <w:szCs w:val="22"/>
          <w:lang w:eastAsia="pl-PL"/>
        </w:rPr>
        <w:t xml:space="preserve">] </w:t>
      </w:r>
      <w:proofErr w:type="spellStart"/>
      <w:r w:rsidRPr="007606FA">
        <w:rPr>
          <w:rFonts w:eastAsia="Calibri" w:cs="Times New Roman"/>
          <w:sz w:val="22"/>
          <w:szCs w:val="22"/>
          <w:lang w:eastAsia="pl-PL"/>
        </w:rPr>
        <w:t>dimetylowy</w:t>
      </w:r>
      <w:proofErr w:type="spellEnd"/>
      <w:r w:rsidRPr="007606FA">
        <w:rPr>
          <w:rFonts w:eastAsia="Calibri" w:cs="Times New Roman"/>
          <w:sz w:val="22"/>
          <w:szCs w:val="22"/>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7606FA">
        <w:rPr>
          <w:rFonts w:eastAsia="Calibri" w:cs="Times New Roman"/>
          <w:sz w:val="22"/>
          <w:szCs w:val="22"/>
          <w:lang w:eastAsia="pl-PL"/>
        </w:rPr>
        <w:t>albicans</w:t>
      </w:r>
      <w:proofErr w:type="spellEnd"/>
      <w:r w:rsidRPr="007606FA">
        <w:rPr>
          <w:rFonts w:eastAsia="Calibri" w:cs="Times New Roman"/>
          <w:sz w:val="22"/>
          <w:szCs w:val="22"/>
          <w:lang w:eastAsia="pl-PL"/>
        </w:rPr>
        <w:t xml:space="preserve">) w czasie 1 minuty (EN 13624), </w:t>
      </w:r>
      <w:proofErr w:type="spellStart"/>
      <w:r w:rsidRPr="007606FA">
        <w:rPr>
          <w:rFonts w:eastAsia="Calibri" w:cs="Times New Roman"/>
          <w:sz w:val="22"/>
          <w:szCs w:val="22"/>
          <w:lang w:eastAsia="pl-PL"/>
        </w:rPr>
        <w:t>Tbc</w:t>
      </w:r>
      <w:proofErr w:type="spellEnd"/>
      <w:r w:rsidRPr="007606FA">
        <w:rPr>
          <w:rFonts w:eastAsia="Calibri" w:cs="Times New Roman"/>
          <w:sz w:val="22"/>
          <w:szCs w:val="22"/>
          <w:lang w:eastAsia="pl-PL"/>
        </w:rPr>
        <w:t xml:space="preserve"> w czasie 15 minut (EN 14348), V (HIV, HBV, HCV, BVDV, </w:t>
      </w:r>
      <w:proofErr w:type="spellStart"/>
      <w:r w:rsidRPr="007606FA">
        <w:rPr>
          <w:rFonts w:eastAsia="Calibri" w:cs="Times New Roman"/>
          <w:sz w:val="22"/>
          <w:szCs w:val="22"/>
          <w:lang w:eastAsia="pl-PL"/>
        </w:rPr>
        <w:t>Vaccinia</w:t>
      </w:r>
      <w:proofErr w:type="spellEnd"/>
      <w:r w:rsidRPr="007606FA">
        <w:rPr>
          <w:rFonts w:eastAsia="Calibri" w:cs="Times New Roman"/>
          <w:sz w:val="22"/>
          <w:szCs w:val="22"/>
          <w:lang w:eastAsia="pl-PL"/>
        </w:rPr>
        <w:t>, Rota) w czasie 1 minuty (BGA/DVV), V (</w:t>
      </w:r>
      <w:proofErr w:type="spellStart"/>
      <w:r w:rsidRPr="007606FA">
        <w:rPr>
          <w:rFonts w:eastAsia="Calibri" w:cs="Times New Roman"/>
          <w:sz w:val="22"/>
          <w:szCs w:val="22"/>
          <w:lang w:eastAsia="pl-PL"/>
        </w:rPr>
        <w:t>polyoma</w:t>
      </w:r>
      <w:proofErr w:type="spellEnd"/>
      <w:r w:rsidRPr="007606FA">
        <w:rPr>
          <w:rFonts w:eastAsia="Calibri" w:cs="Times New Roman"/>
          <w:sz w:val="22"/>
          <w:szCs w:val="22"/>
          <w:lang w:eastAsia="pl-PL"/>
        </w:rPr>
        <w:t xml:space="preserve"> SV 40)- w czasie 1 minuty (DVV/RKI), V (Noro) w czasie 30 minut (PN EN 14476), wymiar chusteczki 12x18cm, 150 sztuk </w:t>
      </w:r>
      <w:r w:rsidR="0052052D">
        <w:rPr>
          <w:rFonts w:eastAsia="Calibri" w:cs="Times New Roman"/>
          <w:sz w:val="22"/>
          <w:szCs w:val="22"/>
          <w:lang w:eastAsia="pl-PL"/>
        </w:rPr>
        <w:br/>
      </w:r>
      <w:r w:rsidRPr="007606FA">
        <w:rPr>
          <w:rFonts w:eastAsia="Calibri" w:cs="Times New Roman"/>
          <w:sz w:val="22"/>
          <w:szCs w:val="22"/>
          <w:lang w:eastAsia="pl-PL"/>
        </w:rPr>
        <w:t>w opakowaniu typu tuba i wkłady do tuby?</w:t>
      </w:r>
    </w:p>
    <w:p w14:paraId="0F797C82" w14:textId="41655EF8" w:rsidR="007606FA" w:rsidRPr="007606FA"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lub</w:t>
      </w:r>
      <w:r w:rsidRPr="007606FA">
        <w:rPr>
          <w:rFonts w:eastAsia="Calibri" w:cs="Times New Roman"/>
          <w:sz w:val="22"/>
          <w:szCs w:val="22"/>
          <w:lang w:eastAsia="pl-PL"/>
        </w:rPr>
        <w:br/>
        <w:t xml:space="preserve">Chusteczki  bezalkoholowe na bazie czwartorzędowych związków amoniowych (skład: 0,26g chlorek benzylo-C12-16-alkilodimetylowy, 0,26g chlorek </w:t>
      </w:r>
      <w:proofErr w:type="spellStart"/>
      <w:r w:rsidRPr="007606FA">
        <w:rPr>
          <w:rFonts w:eastAsia="Calibri" w:cs="Times New Roman"/>
          <w:sz w:val="22"/>
          <w:szCs w:val="22"/>
          <w:lang w:eastAsia="pl-PL"/>
        </w:rPr>
        <w:t>didecylodimetyloamoniowy</w:t>
      </w:r>
      <w:proofErr w:type="spellEnd"/>
      <w:r w:rsidRPr="007606FA">
        <w:rPr>
          <w:rFonts w:eastAsia="Calibri" w:cs="Times New Roman"/>
          <w:sz w:val="22"/>
          <w:szCs w:val="22"/>
          <w:lang w:eastAsia="pl-PL"/>
        </w:rPr>
        <w:t xml:space="preserve">, 0,26g czwartorzędowe związki amoniowe, chlorek </w:t>
      </w:r>
      <w:proofErr w:type="spellStart"/>
      <w:r w:rsidRPr="007606FA">
        <w:rPr>
          <w:rFonts w:eastAsia="Calibri" w:cs="Times New Roman"/>
          <w:sz w:val="22"/>
          <w:szCs w:val="22"/>
          <w:lang w:eastAsia="pl-PL"/>
        </w:rPr>
        <w:t>benzylo</w:t>
      </w:r>
      <w:proofErr w:type="spellEnd"/>
      <w:r w:rsidRPr="007606FA">
        <w:rPr>
          <w:rFonts w:eastAsia="Calibri" w:cs="Times New Roman"/>
          <w:sz w:val="22"/>
          <w:szCs w:val="22"/>
          <w:lang w:eastAsia="pl-PL"/>
        </w:rPr>
        <w:t xml:space="preserve"> C12-14-alkilo[(</w:t>
      </w:r>
      <w:proofErr w:type="spellStart"/>
      <w:r w:rsidRPr="007606FA">
        <w:rPr>
          <w:rFonts w:eastAsia="Calibri" w:cs="Times New Roman"/>
          <w:sz w:val="22"/>
          <w:szCs w:val="22"/>
          <w:lang w:eastAsia="pl-PL"/>
        </w:rPr>
        <w:t>etylofenylo</w:t>
      </w:r>
      <w:proofErr w:type="spellEnd"/>
      <w:r w:rsidRPr="007606FA">
        <w:rPr>
          <w:rFonts w:eastAsia="Calibri" w:cs="Times New Roman"/>
          <w:sz w:val="22"/>
          <w:szCs w:val="22"/>
          <w:lang w:eastAsia="pl-PL"/>
        </w:rPr>
        <w:t>)</w:t>
      </w:r>
      <w:proofErr w:type="spellStart"/>
      <w:r w:rsidRPr="007606FA">
        <w:rPr>
          <w:rFonts w:eastAsia="Calibri" w:cs="Times New Roman"/>
          <w:sz w:val="22"/>
          <w:szCs w:val="22"/>
          <w:lang w:eastAsia="pl-PL"/>
        </w:rPr>
        <w:t>metylo</w:t>
      </w:r>
      <w:proofErr w:type="spellEnd"/>
      <w:r w:rsidRPr="007606FA">
        <w:rPr>
          <w:rFonts w:eastAsia="Calibri" w:cs="Times New Roman"/>
          <w:sz w:val="22"/>
          <w:szCs w:val="22"/>
          <w:lang w:eastAsia="pl-PL"/>
        </w:rPr>
        <w:t xml:space="preserve">] </w:t>
      </w:r>
      <w:proofErr w:type="spellStart"/>
      <w:r w:rsidRPr="007606FA">
        <w:rPr>
          <w:rFonts w:eastAsia="Calibri" w:cs="Times New Roman"/>
          <w:sz w:val="22"/>
          <w:szCs w:val="22"/>
          <w:lang w:eastAsia="pl-PL"/>
        </w:rPr>
        <w:t>dimetylowy</w:t>
      </w:r>
      <w:proofErr w:type="spellEnd"/>
      <w:r w:rsidRPr="007606FA">
        <w:rPr>
          <w:rFonts w:eastAsia="Calibri" w:cs="Times New Roman"/>
          <w:sz w:val="22"/>
          <w:szCs w:val="22"/>
          <w:lang w:eastAsia="pl-PL"/>
        </w:rPr>
        <w:t xml:space="preserve">)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7606FA">
        <w:rPr>
          <w:rFonts w:eastAsia="Calibri" w:cs="Times New Roman"/>
          <w:sz w:val="22"/>
          <w:szCs w:val="22"/>
          <w:lang w:eastAsia="pl-PL"/>
        </w:rPr>
        <w:t>albicans</w:t>
      </w:r>
      <w:proofErr w:type="spellEnd"/>
      <w:r w:rsidRPr="007606FA">
        <w:rPr>
          <w:rFonts w:eastAsia="Calibri" w:cs="Times New Roman"/>
          <w:sz w:val="22"/>
          <w:szCs w:val="22"/>
          <w:lang w:eastAsia="pl-PL"/>
        </w:rPr>
        <w:t xml:space="preserve">) w czasie 1 minuty (EN 13624), </w:t>
      </w:r>
      <w:proofErr w:type="spellStart"/>
      <w:r w:rsidRPr="007606FA">
        <w:rPr>
          <w:rFonts w:eastAsia="Calibri" w:cs="Times New Roman"/>
          <w:sz w:val="22"/>
          <w:szCs w:val="22"/>
          <w:lang w:eastAsia="pl-PL"/>
        </w:rPr>
        <w:t>Tbc</w:t>
      </w:r>
      <w:proofErr w:type="spellEnd"/>
      <w:r w:rsidRPr="007606FA">
        <w:rPr>
          <w:rFonts w:eastAsia="Calibri" w:cs="Times New Roman"/>
          <w:sz w:val="22"/>
          <w:szCs w:val="22"/>
          <w:lang w:eastAsia="pl-PL"/>
        </w:rPr>
        <w:t xml:space="preserve"> w czasie 15 minut (EN 14348), V (HIV, HBV, HCV, BVDV, </w:t>
      </w:r>
      <w:proofErr w:type="spellStart"/>
      <w:r w:rsidRPr="007606FA">
        <w:rPr>
          <w:rFonts w:eastAsia="Calibri" w:cs="Times New Roman"/>
          <w:sz w:val="22"/>
          <w:szCs w:val="22"/>
          <w:lang w:eastAsia="pl-PL"/>
        </w:rPr>
        <w:t>Vaccinia</w:t>
      </w:r>
      <w:proofErr w:type="spellEnd"/>
      <w:r w:rsidRPr="007606FA">
        <w:rPr>
          <w:rFonts w:eastAsia="Calibri" w:cs="Times New Roman"/>
          <w:sz w:val="22"/>
          <w:szCs w:val="22"/>
          <w:lang w:eastAsia="pl-PL"/>
        </w:rPr>
        <w:t>, Rota) w czasie 1 minuty (BGA/DVV), V (</w:t>
      </w:r>
      <w:proofErr w:type="spellStart"/>
      <w:r w:rsidRPr="007606FA">
        <w:rPr>
          <w:rFonts w:eastAsia="Calibri" w:cs="Times New Roman"/>
          <w:sz w:val="22"/>
          <w:szCs w:val="22"/>
          <w:lang w:eastAsia="pl-PL"/>
        </w:rPr>
        <w:t>polyoma</w:t>
      </w:r>
      <w:proofErr w:type="spellEnd"/>
      <w:r w:rsidRPr="007606FA">
        <w:rPr>
          <w:rFonts w:eastAsia="Calibri" w:cs="Times New Roman"/>
          <w:sz w:val="22"/>
          <w:szCs w:val="22"/>
          <w:lang w:eastAsia="pl-PL"/>
        </w:rPr>
        <w:t xml:space="preserve"> SV 40)- w czasie 1 minuty (DVV/RKI), V (Noro) w czasie 30 minut (PN EN 14476), wymiar chusteczki 12x18cm, 200 sztuk </w:t>
      </w:r>
      <w:r w:rsidR="0052052D">
        <w:rPr>
          <w:rFonts w:eastAsia="Calibri" w:cs="Times New Roman"/>
          <w:sz w:val="22"/>
          <w:szCs w:val="22"/>
          <w:lang w:eastAsia="pl-PL"/>
        </w:rPr>
        <w:br/>
      </w:r>
      <w:r w:rsidRPr="007606FA">
        <w:rPr>
          <w:rFonts w:eastAsia="Calibri" w:cs="Times New Roman"/>
          <w:sz w:val="22"/>
          <w:szCs w:val="22"/>
          <w:lang w:eastAsia="pl-PL"/>
        </w:rPr>
        <w:t>w opakowaniu typu tuba i wkłady do tuby?</w:t>
      </w:r>
    </w:p>
    <w:p w14:paraId="42AA3F33" w14:textId="77777777" w:rsidR="007606FA" w:rsidRPr="007606FA"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W PRZYPADKU ZGODY PROSIMY O WSKAZANIE SPOSOBU PRZELICZENIA. Zwracamy uwagę na błędny zapis: "z atomizerem dołączonym do każdej 1 L butelki"</w:t>
      </w:r>
    </w:p>
    <w:p w14:paraId="184760CF" w14:textId="77777777" w:rsidR="007606FA" w:rsidRPr="007606FA" w:rsidRDefault="007606FA" w:rsidP="0052052D">
      <w:pPr>
        <w:jc w:val="both"/>
        <w:rPr>
          <w:rFonts w:eastAsia="Calibri" w:cs="Times New Roman"/>
          <w:b/>
          <w:sz w:val="22"/>
          <w:szCs w:val="22"/>
          <w:lang w:eastAsia="pl-PL"/>
        </w:rPr>
      </w:pPr>
      <w:r w:rsidRPr="007606FA">
        <w:rPr>
          <w:rFonts w:eastAsia="Calibri" w:cs="Times New Roman"/>
          <w:b/>
          <w:sz w:val="22"/>
          <w:szCs w:val="22"/>
          <w:lang w:eastAsia="pl-PL"/>
        </w:rPr>
        <w:t>Odp. Zgodnie z SIWZ</w:t>
      </w:r>
    </w:p>
    <w:p w14:paraId="58D2DB90" w14:textId="77777777" w:rsidR="007606FA" w:rsidRPr="0052052D" w:rsidRDefault="007606FA" w:rsidP="0052052D">
      <w:pPr>
        <w:pStyle w:val="Akapitzlist"/>
        <w:numPr>
          <w:ilvl w:val="0"/>
          <w:numId w:val="17"/>
        </w:numPr>
        <w:jc w:val="both"/>
        <w:rPr>
          <w:rFonts w:eastAsia="Calibri" w:cs="Times New Roman"/>
          <w:sz w:val="22"/>
          <w:szCs w:val="22"/>
          <w:lang w:eastAsia="pl-PL"/>
        </w:rPr>
      </w:pPr>
      <w:r w:rsidRPr="0052052D">
        <w:rPr>
          <w:rFonts w:eastAsia="Calibri" w:cs="Times New Roman"/>
          <w:sz w:val="22"/>
          <w:szCs w:val="22"/>
          <w:lang w:eastAsia="pl-PL"/>
        </w:rPr>
        <w:t>Pytanie 2</w:t>
      </w:r>
    </w:p>
    <w:p w14:paraId="2C3E03F9" w14:textId="77777777" w:rsidR="007606FA" w:rsidRPr="007606FA" w:rsidRDefault="007606FA" w:rsidP="0052052D">
      <w:pPr>
        <w:ind w:firstLine="360"/>
        <w:jc w:val="both"/>
        <w:rPr>
          <w:rFonts w:eastAsia="Calibri" w:cs="Times New Roman"/>
          <w:sz w:val="22"/>
          <w:szCs w:val="22"/>
          <w:lang w:eastAsia="pl-PL"/>
        </w:rPr>
      </w:pPr>
      <w:r w:rsidRPr="007606FA">
        <w:rPr>
          <w:rFonts w:eastAsia="Calibri" w:cs="Times New Roman"/>
          <w:sz w:val="22"/>
          <w:szCs w:val="22"/>
          <w:lang w:eastAsia="pl-PL"/>
        </w:rPr>
        <w:t>Czy Zamawiający w Zadaniu 3 dopuści:</w:t>
      </w:r>
    </w:p>
    <w:p w14:paraId="622B2712" w14:textId="38EA5196" w:rsidR="007606FA" w:rsidRPr="007606FA"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 xml:space="preserve">Gaziki wykonane z wysokogatunkowej włókniny o gramaturze 70g/m2, nasączone 70% alkoholem izopropylowym, rozmiar złożonego gazika 4x4,5cm, a rozłożonego 9x12cm, trzykrotnie złożone, </w:t>
      </w:r>
      <w:r w:rsidR="0052052D">
        <w:rPr>
          <w:rFonts w:eastAsia="Calibri" w:cs="Times New Roman"/>
          <w:sz w:val="22"/>
          <w:szCs w:val="22"/>
          <w:lang w:eastAsia="pl-PL"/>
        </w:rPr>
        <w:br/>
      </w:r>
      <w:r w:rsidRPr="007606FA">
        <w:rPr>
          <w:rFonts w:eastAsia="Calibri" w:cs="Times New Roman"/>
          <w:sz w:val="22"/>
          <w:szCs w:val="22"/>
          <w:lang w:eastAsia="pl-PL"/>
        </w:rPr>
        <w:lastRenderedPageBreak/>
        <w:t xml:space="preserve">6 warstw, pakowane pojedynczo w saszetki, rozmiar saszetki 7x7cm, , 100szt. saszetek </w:t>
      </w:r>
      <w:r w:rsidR="0052052D">
        <w:rPr>
          <w:rFonts w:eastAsia="Calibri" w:cs="Times New Roman"/>
          <w:sz w:val="22"/>
          <w:szCs w:val="22"/>
          <w:lang w:eastAsia="pl-PL"/>
        </w:rPr>
        <w:br/>
      </w:r>
      <w:r w:rsidRPr="007606FA">
        <w:rPr>
          <w:rFonts w:eastAsia="Calibri" w:cs="Times New Roman"/>
          <w:sz w:val="22"/>
          <w:szCs w:val="22"/>
          <w:lang w:eastAsia="pl-PL"/>
        </w:rPr>
        <w:t>w opakowaniu zbiorczym- kartoniku, wyrób medyczny klasy I?</w:t>
      </w:r>
    </w:p>
    <w:p w14:paraId="2C86BF8C" w14:textId="77777777" w:rsidR="007606FA" w:rsidRPr="007606FA" w:rsidRDefault="007606FA" w:rsidP="0052052D">
      <w:pPr>
        <w:ind w:firstLine="360"/>
        <w:jc w:val="both"/>
        <w:rPr>
          <w:rFonts w:eastAsia="Calibri" w:cs="Times New Roman"/>
          <w:sz w:val="22"/>
          <w:szCs w:val="22"/>
          <w:lang w:eastAsia="pl-PL"/>
        </w:rPr>
      </w:pPr>
      <w:r w:rsidRPr="007606FA">
        <w:rPr>
          <w:rFonts w:eastAsia="Calibri" w:cs="Times New Roman"/>
          <w:sz w:val="22"/>
          <w:szCs w:val="22"/>
          <w:lang w:eastAsia="pl-PL"/>
        </w:rPr>
        <w:t>lub</w:t>
      </w:r>
    </w:p>
    <w:p w14:paraId="486F27D0" w14:textId="1048A90F" w:rsidR="007606FA" w:rsidRPr="007606FA" w:rsidRDefault="007606FA" w:rsidP="0052052D">
      <w:pPr>
        <w:ind w:left="360"/>
        <w:jc w:val="both"/>
        <w:rPr>
          <w:rFonts w:eastAsia="Calibri" w:cs="Times New Roman"/>
          <w:sz w:val="22"/>
          <w:szCs w:val="22"/>
          <w:lang w:eastAsia="pl-PL"/>
        </w:rPr>
      </w:pPr>
      <w:r w:rsidRPr="007606FA">
        <w:rPr>
          <w:rFonts w:eastAsia="Calibri" w:cs="Times New Roman"/>
          <w:sz w:val="22"/>
          <w:szCs w:val="22"/>
          <w:lang w:eastAsia="pl-PL"/>
        </w:rPr>
        <w:t xml:space="preserve">Gaziki wykonane z wysokogatunkowej włókniny o gramaturze 70g/m2, nasączone 70% alkoholem izopropylowym, rozmiar złożonego gazika 4x4,5cm, a rozłożonego 12x12,5cm, czterokrotnie złożone, 9 warstw, pakowane pojedynczo w saszetki, rozmiar saszetki 7x7cm, , 100szt. saszetek </w:t>
      </w:r>
      <w:r w:rsidR="0052052D">
        <w:rPr>
          <w:rFonts w:eastAsia="Calibri" w:cs="Times New Roman"/>
          <w:sz w:val="22"/>
          <w:szCs w:val="22"/>
          <w:lang w:eastAsia="pl-PL"/>
        </w:rPr>
        <w:br/>
      </w:r>
      <w:r w:rsidRPr="007606FA">
        <w:rPr>
          <w:rFonts w:eastAsia="Calibri" w:cs="Times New Roman"/>
          <w:sz w:val="22"/>
          <w:szCs w:val="22"/>
          <w:lang w:eastAsia="pl-PL"/>
        </w:rPr>
        <w:t>w opakowaniu zbiorczym- kartoniku, wyrób medyczny klasy I?</w:t>
      </w:r>
    </w:p>
    <w:p w14:paraId="6B573B1D" w14:textId="5E8B7340" w:rsidR="007606FA" w:rsidRPr="007606FA" w:rsidRDefault="007606FA" w:rsidP="0052052D">
      <w:pPr>
        <w:jc w:val="both"/>
        <w:rPr>
          <w:rFonts w:eastAsia="Calibri" w:cs="Times New Roman"/>
          <w:b/>
          <w:sz w:val="22"/>
          <w:szCs w:val="22"/>
          <w:lang w:eastAsia="pl-PL"/>
        </w:rPr>
      </w:pPr>
      <w:r w:rsidRPr="007606FA">
        <w:rPr>
          <w:rFonts w:eastAsia="Calibri" w:cs="Times New Roman"/>
          <w:b/>
          <w:sz w:val="22"/>
          <w:szCs w:val="22"/>
          <w:lang w:eastAsia="pl-PL"/>
        </w:rPr>
        <w:t>Odp. Zamawiający dopuszcza gaziki wykonane z wysokogatunkowej włókniny  o gramaturze 70g/m</w:t>
      </w:r>
      <w:r w:rsidRPr="007606FA">
        <w:rPr>
          <w:rFonts w:eastAsia="Calibri" w:cs="Times New Roman"/>
          <w:b/>
          <w:sz w:val="22"/>
          <w:szCs w:val="22"/>
          <w:vertAlign w:val="superscript"/>
          <w:lang w:eastAsia="pl-PL"/>
        </w:rPr>
        <w:t>2</w:t>
      </w:r>
      <w:r w:rsidRPr="007606FA">
        <w:rPr>
          <w:rFonts w:eastAsia="Calibri" w:cs="Times New Roman"/>
          <w:b/>
          <w:sz w:val="22"/>
          <w:szCs w:val="22"/>
          <w:lang w:eastAsia="pl-PL"/>
        </w:rPr>
        <w:t>, nasączone 70% alkoholem izopropylowym, rozmiar złożonego gazika 4x4,5cm, a rozłożonego 12x12,5cm, czterokrotnie złożone, 9 warstw, pakowane pojedynczo w saszetki, rozmiar saszetki 7x7cm, , 100szt. saszetek w opakowaniu zbiorczym- kartoniku, wyrób medyczny klasy I, pod warunkiem spełnienia przez produkt pozostałych zapisów SIWZ.</w:t>
      </w:r>
    </w:p>
    <w:p w14:paraId="4FF89DD6"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Załącznik nr 1 - wymagania dla wszystkich zadań:</w:t>
      </w:r>
    </w:p>
    <w:p w14:paraId="0FCBFDF3" w14:textId="4E8A5574"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Prosimy o odstąpienie od wymogu zgłoszenia preparatu do Krajowego Systemu Informowania </w:t>
      </w:r>
      <w:r>
        <w:rPr>
          <w:rFonts w:eastAsia="Calibri" w:cs="Times New Roman"/>
          <w:sz w:val="22"/>
          <w:szCs w:val="22"/>
        </w:rPr>
        <w:br/>
      </w:r>
      <w:r w:rsidRPr="0052052D">
        <w:rPr>
          <w:rFonts w:eastAsia="Calibri" w:cs="Times New Roman"/>
          <w:sz w:val="22"/>
          <w:szCs w:val="22"/>
        </w:rPr>
        <w:t>o Kosmetykach Wprowadzanych do Obrotu. Na dzień dzisiejszy, zgodnie z Art. 13 Rozporządzenia 1223/2009/WE podmiot odpowiedzialny jest zobowiązany do zgłoszenia produktu kosmetycznego Komisji Europejskiej za pośrednictwem CPNP (</w:t>
      </w:r>
      <w:proofErr w:type="spellStart"/>
      <w:r w:rsidRPr="0052052D">
        <w:rPr>
          <w:rFonts w:eastAsia="Calibri" w:cs="Times New Roman"/>
          <w:sz w:val="22"/>
          <w:szCs w:val="22"/>
        </w:rPr>
        <w:t>Cosmetic</w:t>
      </w:r>
      <w:proofErr w:type="spellEnd"/>
      <w:r w:rsidRPr="0052052D">
        <w:rPr>
          <w:rFonts w:eastAsia="Calibri" w:cs="Times New Roman"/>
          <w:sz w:val="22"/>
          <w:szCs w:val="22"/>
        </w:rPr>
        <w:t xml:space="preserve"> Products Notification Portal).</w:t>
      </w:r>
    </w:p>
    <w:p w14:paraId="1FDA19A3" w14:textId="673BA2F0"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Odp.: Zamawiający dopuści do oceny preparaty posiadające, w miejsce zgłoszenia do </w:t>
      </w:r>
      <w:proofErr w:type="spellStart"/>
      <w:r w:rsidRPr="0052052D">
        <w:rPr>
          <w:rFonts w:eastAsia="Calibri" w:cs="Times New Roman"/>
          <w:b/>
          <w:sz w:val="22"/>
          <w:szCs w:val="22"/>
        </w:rPr>
        <w:t>KSIoK</w:t>
      </w:r>
      <w:proofErr w:type="spellEnd"/>
      <w:r w:rsidRPr="0052052D">
        <w:rPr>
          <w:rFonts w:eastAsia="Calibri" w:cs="Times New Roman"/>
          <w:b/>
          <w:sz w:val="22"/>
          <w:szCs w:val="22"/>
        </w:rPr>
        <w:t xml:space="preserve">, potwierdzenie notyfikacji danych o kosmetyku w bazie </w:t>
      </w:r>
      <w:proofErr w:type="spellStart"/>
      <w:r w:rsidRPr="0052052D">
        <w:rPr>
          <w:rFonts w:eastAsia="Calibri" w:cs="Times New Roman"/>
          <w:b/>
          <w:sz w:val="22"/>
          <w:szCs w:val="22"/>
        </w:rPr>
        <w:t>Cosmetic</w:t>
      </w:r>
      <w:proofErr w:type="spellEnd"/>
      <w:r w:rsidRPr="0052052D">
        <w:rPr>
          <w:rFonts w:eastAsia="Calibri" w:cs="Times New Roman"/>
          <w:b/>
          <w:sz w:val="22"/>
          <w:szCs w:val="22"/>
        </w:rPr>
        <w:t xml:space="preserve"> Products Notification Portal (CPNP) zgodnie z wymogami art. 13, pkt 1 i 2 Rozporządzenia Parlamentu Europejskiego i Rady (WE) nr 1223/2009 z dnia 30 listopada 2009 r. dotyczącego produktów kosmetycznych (Dz.U.L342 z 30 listopada 2009), pod warunkiem spełnienia przez produkty wszystkich pozostałych wymagań zawartych  w zapisach SIWZ.</w:t>
      </w:r>
    </w:p>
    <w:p w14:paraId="2B4F93DC"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1 poz. 1:</w:t>
      </w:r>
    </w:p>
    <w:p w14:paraId="26E81878" w14:textId="2BFD150A"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Czy Zamawiający wyrazi zgodę na preparat spełniający wymagania SIWZ o spektrum </w:t>
      </w:r>
      <w:proofErr w:type="spellStart"/>
      <w:r w:rsidRPr="0052052D">
        <w:rPr>
          <w:rFonts w:eastAsia="Calibri" w:cs="Times New Roman"/>
          <w:sz w:val="22"/>
          <w:szCs w:val="22"/>
        </w:rPr>
        <w:t>bójczym</w:t>
      </w:r>
      <w:proofErr w:type="spellEnd"/>
      <w:r w:rsidRPr="0052052D">
        <w:rPr>
          <w:rFonts w:eastAsia="Calibri" w:cs="Times New Roman"/>
          <w:sz w:val="22"/>
          <w:szCs w:val="22"/>
        </w:rPr>
        <w:t xml:space="preserve"> na B </w:t>
      </w:r>
      <w:r>
        <w:rPr>
          <w:rFonts w:eastAsia="Calibri" w:cs="Times New Roman"/>
          <w:sz w:val="22"/>
          <w:szCs w:val="22"/>
        </w:rPr>
        <w:br/>
      </w:r>
      <w:r w:rsidRPr="0052052D">
        <w:rPr>
          <w:rFonts w:eastAsia="Calibri" w:cs="Times New Roman"/>
          <w:sz w:val="22"/>
          <w:szCs w:val="22"/>
        </w:rPr>
        <w:t>i F?</w:t>
      </w:r>
    </w:p>
    <w:p w14:paraId="30FF7A41" w14:textId="77777777"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Zamawiający wyrazi zgodę na preparat o spektrum </w:t>
      </w:r>
      <w:proofErr w:type="spellStart"/>
      <w:r w:rsidRPr="0052052D">
        <w:rPr>
          <w:rFonts w:eastAsia="Calibri" w:cs="Times New Roman"/>
          <w:b/>
          <w:sz w:val="22"/>
          <w:szCs w:val="22"/>
        </w:rPr>
        <w:t>bójczym</w:t>
      </w:r>
      <w:proofErr w:type="spellEnd"/>
      <w:r w:rsidRPr="0052052D">
        <w:rPr>
          <w:rFonts w:eastAsia="Calibri" w:cs="Times New Roman"/>
          <w:b/>
          <w:sz w:val="22"/>
          <w:szCs w:val="22"/>
        </w:rPr>
        <w:t xml:space="preserve"> na B i F,  spełniający wszystkie pozostałe wymagania SIWZ . </w:t>
      </w:r>
    </w:p>
    <w:p w14:paraId="644CA804"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1 poz. 1:</w:t>
      </w:r>
    </w:p>
    <w:p w14:paraId="6BD682DC" w14:textId="77777777" w:rsidR="0052052D" w:rsidRPr="0052052D" w:rsidRDefault="0052052D" w:rsidP="0052052D">
      <w:pPr>
        <w:ind w:firstLine="360"/>
        <w:jc w:val="both"/>
        <w:rPr>
          <w:rFonts w:eastAsia="Calibri" w:cs="Times New Roman"/>
          <w:sz w:val="22"/>
          <w:szCs w:val="22"/>
        </w:rPr>
      </w:pPr>
      <w:r w:rsidRPr="0052052D">
        <w:rPr>
          <w:rFonts w:eastAsia="Calibri" w:cs="Times New Roman"/>
          <w:sz w:val="22"/>
          <w:szCs w:val="22"/>
        </w:rPr>
        <w:t>Prosimy o wyrażenie zgody na wydzielenie pozycji 1 do oddzielnego pakietu.</w:t>
      </w:r>
    </w:p>
    <w:p w14:paraId="1F6710DC" w14:textId="77777777" w:rsidR="0052052D" w:rsidRPr="0052052D" w:rsidRDefault="0052052D" w:rsidP="0052052D">
      <w:pPr>
        <w:jc w:val="both"/>
        <w:rPr>
          <w:rFonts w:eastAsia="Calibri" w:cs="Times New Roman"/>
          <w:b/>
          <w:sz w:val="22"/>
          <w:szCs w:val="22"/>
        </w:rPr>
      </w:pPr>
      <w:r w:rsidRPr="0052052D">
        <w:rPr>
          <w:rFonts w:eastAsia="Calibri" w:cs="Times New Roman"/>
          <w:b/>
          <w:sz w:val="22"/>
          <w:szCs w:val="22"/>
        </w:rPr>
        <w:t>Odp.: Zamawiający  wydziela pozycję nr 1 do osobnego pakietu.</w:t>
      </w:r>
    </w:p>
    <w:p w14:paraId="719FC06A"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1 poz. 3:</w:t>
      </w:r>
    </w:p>
    <w:p w14:paraId="18A58617" w14:textId="302BEB24"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Czy nie nastąpiła omyłka w zapisie pod pakietem dot. rejestracji produktu (pkt. 1 i 7) i nie powinno być  wskazane iż chodzi o produkt zarejestrowany jako kosmetyk?</w:t>
      </w:r>
    </w:p>
    <w:p w14:paraId="2115E345" w14:textId="271CE891" w:rsidR="0052052D" w:rsidRPr="0052052D" w:rsidRDefault="0052052D" w:rsidP="0052052D">
      <w:pPr>
        <w:jc w:val="both"/>
        <w:rPr>
          <w:rFonts w:eastAsia="Calibri" w:cs="Times New Roman"/>
          <w:b/>
          <w:color w:val="FF0000"/>
          <w:sz w:val="22"/>
          <w:szCs w:val="22"/>
        </w:rPr>
      </w:pPr>
      <w:r w:rsidRPr="0052052D">
        <w:rPr>
          <w:rFonts w:eastAsia="Calibri" w:cs="Times New Roman"/>
          <w:b/>
          <w:sz w:val="22"/>
          <w:szCs w:val="22"/>
        </w:rPr>
        <w:t xml:space="preserve">Odp.: Zamawiający dopuści do oceny kosmetyk do stosowania w obszarze medycznym, </w:t>
      </w:r>
      <w:r>
        <w:rPr>
          <w:rFonts w:eastAsia="Calibri" w:cs="Times New Roman"/>
          <w:b/>
          <w:sz w:val="22"/>
          <w:szCs w:val="22"/>
        </w:rPr>
        <w:br/>
      </w:r>
      <w:r w:rsidRPr="0052052D">
        <w:rPr>
          <w:rFonts w:eastAsia="Calibri" w:cs="Times New Roman"/>
          <w:b/>
          <w:sz w:val="22"/>
          <w:szCs w:val="22"/>
        </w:rPr>
        <w:t xml:space="preserve">o właściwościach zgodnych w zapisami SIWZ. </w:t>
      </w:r>
    </w:p>
    <w:p w14:paraId="6B14D814"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1 poz. 1:</w:t>
      </w:r>
    </w:p>
    <w:p w14:paraId="5EF05596" w14:textId="1B12C48A"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Prosimy o wyjaśnienie czy w zapisie dot. kryteriów oceny jakości dla poz. 3 nie doszło do omyłki </w:t>
      </w:r>
      <w:r>
        <w:rPr>
          <w:rFonts w:eastAsia="Calibri" w:cs="Times New Roman"/>
          <w:sz w:val="22"/>
          <w:szCs w:val="22"/>
        </w:rPr>
        <w:br/>
      </w:r>
      <w:r w:rsidRPr="0052052D">
        <w:rPr>
          <w:rFonts w:eastAsia="Calibri" w:cs="Times New Roman"/>
          <w:sz w:val="22"/>
          <w:szCs w:val="22"/>
        </w:rPr>
        <w:t>i w pkt. 1 i 2 nie zostały zamienione punkty?</w:t>
      </w:r>
    </w:p>
    <w:p w14:paraId="45105088" w14:textId="77777777" w:rsidR="0052052D" w:rsidRPr="0052052D" w:rsidRDefault="0052052D" w:rsidP="0052052D">
      <w:pPr>
        <w:jc w:val="both"/>
        <w:rPr>
          <w:rFonts w:eastAsia="Calibri" w:cs="Times New Roman"/>
          <w:b/>
          <w:sz w:val="22"/>
          <w:szCs w:val="22"/>
        </w:rPr>
      </w:pPr>
      <w:r w:rsidRPr="0052052D">
        <w:rPr>
          <w:rFonts w:eastAsia="Calibri" w:cs="Times New Roman"/>
          <w:b/>
          <w:sz w:val="22"/>
          <w:szCs w:val="22"/>
        </w:rPr>
        <w:t>Odp.: Zamawiający  potwierdza pomyłkę w ocenie zadania, prawidłowy zapis przedstawiamy poniżej</w:t>
      </w:r>
    </w:p>
    <w:tbl>
      <w:tblPr>
        <w:tblW w:w="9579" w:type="dxa"/>
        <w:tblInd w:w="55" w:type="dxa"/>
        <w:tblCellMar>
          <w:left w:w="70" w:type="dxa"/>
          <w:right w:w="70" w:type="dxa"/>
        </w:tblCellMar>
        <w:tblLook w:val="04A0" w:firstRow="1" w:lastRow="0" w:firstColumn="1" w:lastColumn="0" w:noHBand="0" w:noVBand="1"/>
      </w:tblPr>
      <w:tblGrid>
        <w:gridCol w:w="308"/>
        <w:gridCol w:w="2656"/>
        <w:gridCol w:w="874"/>
        <w:gridCol w:w="874"/>
        <w:gridCol w:w="765"/>
        <w:gridCol w:w="656"/>
        <w:gridCol w:w="420"/>
        <w:gridCol w:w="475"/>
        <w:gridCol w:w="456"/>
        <w:gridCol w:w="583"/>
        <w:gridCol w:w="765"/>
        <w:gridCol w:w="747"/>
      </w:tblGrid>
      <w:tr w:rsidR="0052052D" w:rsidRPr="0052052D" w14:paraId="1671D6B1" w14:textId="77777777" w:rsidTr="0052052D">
        <w:trPr>
          <w:trHeight w:val="240"/>
        </w:trPr>
        <w:tc>
          <w:tcPr>
            <w:tcW w:w="2964" w:type="dxa"/>
            <w:gridSpan w:val="2"/>
            <w:tcBorders>
              <w:top w:val="nil"/>
              <w:left w:val="nil"/>
              <w:bottom w:val="nil"/>
              <w:right w:val="nil"/>
            </w:tcBorders>
            <w:shd w:val="clear" w:color="auto" w:fill="auto"/>
            <w:noWrap/>
            <w:vAlign w:val="bottom"/>
            <w:hideMark/>
          </w:tcPr>
          <w:p w14:paraId="49294D5E" w14:textId="77777777" w:rsidR="0052052D" w:rsidRDefault="0052052D" w:rsidP="0052052D">
            <w:pPr>
              <w:jc w:val="both"/>
              <w:rPr>
                <w:rFonts w:eastAsia="Times New Roman" w:cs="Times New Roman"/>
                <w:b/>
                <w:bCs/>
                <w:color w:val="000080"/>
                <w:sz w:val="22"/>
                <w:szCs w:val="22"/>
                <w:lang w:eastAsia="pl-PL"/>
              </w:rPr>
            </w:pPr>
          </w:p>
          <w:p w14:paraId="583153EC" w14:textId="77777777" w:rsidR="0052052D" w:rsidRPr="0052052D" w:rsidRDefault="0052052D" w:rsidP="0052052D">
            <w:pPr>
              <w:jc w:val="both"/>
              <w:rPr>
                <w:rFonts w:eastAsia="Times New Roman" w:cs="Times New Roman"/>
                <w:b/>
                <w:bCs/>
                <w:color w:val="000080"/>
                <w:sz w:val="22"/>
                <w:szCs w:val="22"/>
                <w:lang w:eastAsia="pl-PL"/>
              </w:rPr>
            </w:pPr>
            <w:r w:rsidRPr="0052052D">
              <w:rPr>
                <w:rFonts w:eastAsia="Times New Roman" w:cs="Times New Roman"/>
                <w:b/>
                <w:bCs/>
                <w:color w:val="000080"/>
                <w:sz w:val="22"/>
                <w:szCs w:val="22"/>
                <w:lang w:eastAsia="pl-PL"/>
              </w:rPr>
              <w:t>Ocena zad 1, Pozycja nr 3:</w:t>
            </w:r>
          </w:p>
        </w:tc>
        <w:tc>
          <w:tcPr>
            <w:tcW w:w="874" w:type="dxa"/>
            <w:tcBorders>
              <w:top w:val="nil"/>
              <w:left w:val="nil"/>
              <w:bottom w:val="nil"/>
              <w:right w:val="nil"/>
            </w:tcBorders>
            <w:shd w:val="clear" w:color="auto" w:fill="auto"/>
            <w:noWrap/>
            <w:vAlign w:val="bottom"/>
            <w:hideMark/>
          </w:tcPr>
          <w:p w14:paraId="776D67DD" w14:textId="77777777" w:rsidR="0052052D" w:rsidRPr="0052052D" w:rsidRDefault="0052052D" w:rsidP="0052052D">
            <w:pPr>
              <w:jc w:val="both"/>
              <w:rPr>
                <w:rFonts w:eastAsia="Times New Roman" w:cs="Times New Roman"/>
                <w:color w:val="000000"/>
                <w:sz w:val="22"/>
                <w:szCs w:val="22"/>
                <w:lang w:eastAsia="pl-PL"/>
              </w:rPr>
            </w:pPr>
          </w:p>
        </w:tc>
        <w:tc>
          <w:tcPr>
            <w:tcW w:w="874" w:type="dxa"/>
            <w:tcBorders>
              <w:top w:val="nil"/>
              <w:left w:val="nil"/>
              <w:bottom w:val="nil"/>
              <w:right w:val="nil"/>
            </w:tcBorders>
            <w:shd w:val="clear" w:color="auto" w:fill="auto"/>
            <w:noWrap/>
            <w:vAlign w:val="bottom"/>
            <w:hideMark/>
          </w:tcPr>
          <w:p w14:paraId="3B366F0A" w14:textId="77777777" w:rsidR="0052052D" w:rsidRPr="0052052D" w:rsidRDefault="0052052D" w:rsidP="0052052D">
            <w:pPr>
              <w:jc w:val="both"/>
              <w:rPr>
                <w:rFonts w:eastAsia="Times New Roman" w:cs="Times New Roman"/>
                <w:color w:val="000000"/>
                <w:sz w:val="22"/>
                <w:szCs w:val="22"/>
                <w:lang w:eastAsia="pl-PL"/>
              </w:rPr>
            </w:pPr>
          </w:p>
        </w:tc>
        <w:tc>
          <w:tcPr>
            <w:tcW w:w="765" w:type="dxa"/>
            <w:tcBorders>
              <w:top w:val="nil"/>
              <w:left w:val="nil"/>
              <w:bottom w:val="nil"/>
              <w:right w:val="nil"/>
            </w:tcBorders>
            <w:shd w:val="clear" w:color="auto" w:fill="auto"/>
            <w:noWrap/>
            <w:vAlign w:val="bottom"/>
            <w:hideMark/>
          </w:tcPr>
          <w:p w14:paraId="324E9FE3" w14:textId="77777777" w:rsidR="0052052D" w:rsidRPr="0052052D" w:rsidRDefault="0052052D" w:rsidP="0052052D">
            <w:pPr>
              <w:jc w:val="both"/>
              <w:rPr>
                <w:rFonts w:eastAsia="Times New Roman" w:cs="Times New Roman"/>
                <w:color w:val="000000"/>
                <w:sz w:val="22"/>
                <w:szCs w:val="22"/>
                <w:lang w:eastAsia="pl-PL"/>
              </w:rPr>
            </w:pPr>
          </w:p>
        </w:tc>
        <w:tc>
          <w:tcPr>
            <w:tcW w:w="656" w:type="dxa"/>
            <w:tcBorders>
              <w:top w:val="nil"/>
              <w:left w:val="nil"/>
              <w:bottom w:val="nil"/>
              <w:right w:val="nil"/>
            </w:tcBorders>
            <w:shd w:val="clear" w:color="auto" w:fill="auto"/>
            <w:noWrap/>
            <w:vAlign w:val="bottom"/>
            <w:hideMark/>
          </w:tcPr>
          <w:p w14:paraId="0D58855C" w14:textId="77777777" w:rsidR="0052052D" w:rsidRPr="0052052D" w:rsidRDefault="0052052D" w:rsidP="0052052D">
            <w:pPr>
              <w:jc w:val="both"/>
              <w:rPr>
                <w:rFonts w:eastAsia="Times New Roman" w:cs="Times New Roman"/>
                <w:color w:val="000000"/>
                <w:sz w:val="22"/>
                <w:szCs w:val="22"/>
                <w:lang w:eastAsia="pl-PL"/>
              </w:rPr>
            </w:pPr>
          </w:p>
        </w:tc>
        <w:tc>
          <w:tcPr>
            <w:tcW w:w="420" w:type="dxa"/>
            <w:tcBorders>
              <w:top w:val="nil"/>
              <w:left w:val="nil"/>
              <w:bottom w:val="nil"/>
              <w:right w:val="nil"/>
            </w:tcBorders>
            <w:shd w:val="clear" w:color="auto" w:fill="auto"/>
            <w:noWrap/>
            <w:vAlign w:val="bottom"/>
            <w:hideMark/>
          </w:tcPr>
          <w:p w14:paraId="1800CF40" w14:textId="77777777" w:rsidR="0052052D" w:rsidRPr="0052052D" w:rsidRDefault="0052052D" w:rsidP="0052052D">
            <w:pPr>
              <w:jc w:val="both"/>
              <w:rPr>
                <w:rFonts w:eastAsia="Times New Roman" w:cs="Times New Roman"/>
                <w:color w:val="000000"/>
                <w:sz w:val="22"/>
                <w:szCs w:val="22"/>
                <w:lang w:eastAsia="pl-PL"/>
              </w:rPr>
            </w:pPr>
          </w:p>
        </w:tc>
        <w:tc>
          <w:tcPr>
            <w:tcW w:w="475" w:type="dxa"/>
            <w:tcBorders>
              <w:top w:val="nil"/>
              <w:left w:val="nil"/>
              <w:bottom w:val="nil"/>
              <w:right w:val="nil"/>
            </w:tcBorders>
            <w:shd w:val="clear" w:color="auto" w:fill="auto"/>
            <w:noWrap/>
            <w:vAlign w:val="bottom"/>
            <w:hideMark/>
          </w:tcPr>
          <w:p w14:paraId="721B7FE5" w14:textId="77777777" w:rsidR="0052052D" w:rsidRPr="0052052D" w:rsidRDefault="0052052D" w:rsidP="0052052D">
            <w:pPr>
              <w:jc w:val="both"/>
              <w:rPr>
                <w:rFonts w:eastAsia="Times New Roman" w:cs="Times New Roman"/>
                <w:color w:val="000000"/>
                <w:sz w:val="22"/>
                <w:szCs w:val="22"/>
                <w:lang w:eastAsia="pl-PL"/>
              </w:rPr>
            </w:pPr>
          </w:p>
        </w:tc>
        <w:tc>
          <w:tcPr>
            <w:tcW w:w="456" w:type="dxa"/>
            <w:tcBorders>
              <w:top w:val="nil"/>
              <w:left w:val="nil"/>
              <w:bottom w:val="nil"/>
              <w:right w:val="nil"/>
            </w:tcBorders>
            <w:shd w:val="clear" w:color="auto" w:fill="auto"/>
            <w:noWrap/>
            <w:vAlign w:val="bottom"/>
            <w:hideMark/>
          </w:tcPr>
          <w:p w14:paraId="2406767E" w14:textId="77777777" w:rsidR="0052052D" w:rsidRPr="0052052D" w:rsidRDefault="0052052D" w:rsidP="0052052D">
            <w:pPr>
              <w:jc w:val="both"/>
              <w:rPr>
                <w:rFonts w:eastAsia="Times New Roman" w:cs="Times New Roman"/>
                <w:color w:val="000000"/>
                <w:sz w:val="22"/>
                <w:szCs w:val="22"/>
                <w:lang w:eastAsia="pl-PL"/>
              </w:rPr>
            </w:pPr>
          </w:p>
        </w:tc>
        <w:tc>
          <w:tcPr>
            <w:tcW w:w="583" w:type="dxa"/>
            <w:tcBorders>
              <w:top w:val="nil"/>
              <w:left w:val="nil"/>
              <w:bottom w:val="nil"/>
              <w:right w:val="nil"/>
            </w:tcBorders>
            <w:shd w:val="clear" w:color="auto" w:fill="auto"/>
            <w:noWrap/>
            <w:vAlign w:val="bottom"/>
            <w:hideMark/>
          </w:tcPr>
          <w:p w14:paraId="26FC94D2" w14:textId="77777777" w:rsidR="0052052D" w:rsidRPr="0052052D" w:rsidRDefault="0052052D" w:rsidP="0052052D">
            <w:pPr>
              <w:jc w:val="both"/>
              <w:rPr>
                <w:rFonts w:eastAsia="Times New Roman" w:cs="Times New Roman"/>
                <w:color w:val="000000"/>
                <w:sz w:val="22"/>
                <w:szCs w:val="22"/>
                <w:lang w:eastAsia="pl-PL"/>
              </w:rPr>
            </w:pPr>
          </w:p>
        </w:tc>
        <w:tc>
          <w:tcPr>
            <w:tcW w:w="765" w:type="dxa"/>
            <w:tcBorders>
              <w:top w:val="nil"/>
              <w:left w:val="nil"/>
              <w:bottom w:val="nil"/>
              <w:right w:val="nil"/>
            </w:tcBorders>
            <w:shd w:val="clear" w:color="auto" w:fill="auto"/>
            <w:noWrap/>
            <w:vAlign w:val="bottom"/>
            <w:hideMark/>
          </w:tcPr>
          <w:p w14:paraId="42E5F5FC" w14:textId="77777777" w:rsidR="0052052D" w:rsidRPr="0052052D" w:rsidRDefault="0052052D" w:rsidP="0052052D">
            <w:pPr>
              <w:jc w:val="both"/>
              <w:rPr>
                <w:rFonts w:eastAsia="Times New Roman" w:cs="Times New Roman"/>
                <w:color w:val="000000"/>
                <w:sz w:val="22"/>
                <w:szCs w:val="22"/>
                <w:lang w:eastAsia="pl-PL"/>
              </w:rPr>
            </w:pPr>
          </w:p>
        </w:tc>
        <w:tc>
          <w:tcPr>
            <w:tcW w:w="747" w:type="dxa"/>
            <w:tcBorders>
              <w:top w:val="nil"/>
              <w:left w:val="nil"/>
              <w:bottom w:val="nil"/>
              <w:right w:val="nil"/>
            </w:tcBorders>
            <w:shd w:val="clear" w:color="auto" w:fill="auto"/>
            <w:noWrap/>
            <w:vAlign w:val="bottom"/>
            <w:hideMark/>
          </w:tcPr>
          <w:p w14:paraId="0B1A9925" w14:textId="77777777" w:rsidR="0052052D" w:rsidRPr="0052052D" w:rsidRDefault="0052052D" w:rsidP="0052052D">
            <w:pPr>
              <w:jc w:val="both"/>
              <w:rPr>
                <w:rFonts w:eastAsia="Times New Roman" w:cs="Times New Roman"/>
                <w:color w:val="000000"/>
                <w:sz w:val="22"/>
                <w:szCs w:val="22"/>
                <w:lang w:eastAsia="pl-PL"/>
              </w:rPr>
            </w:pPr>
          </w:p>
        </w:tc>
      </w:tr>
      <w:tr w:rsidR="0052052D" w:rsidRPr="0052052D" w14:paraId="5CAE8EB1" w14:textId="77777777" w:rsidTr="0052052D">
        <w:trPr>
          <w:trHeight w:val="240"/>
        </w:trPr>
        <w:tc>
          <w:tcPr>
            <w:tcW w:w="308" w:type="dxa"/>
            <w:tcBorders>
              <w:top w:val="nil"/>
              <w:left w:val="nil"/>
              <w:bottom w:val="nil"/>
              <w:right w:val="nil"/>
            </w:tcBorders>
            <w:shd w:val="clear" w:color="auto" w:fill="auto"/>
            <w:noWrap/>
            <w:vAlign w:val="bottom"/>
            <w:hideMark/>
          </w:tcPr>
          <w:p w14:paraId="28460B42" w14:textId="77777777" w:rsidR="0052052D" w:rsidRPr="0052052D" w:rsidRDefault="0052052D" w:rsidP="0052052D">
            <w:pPr>
              <w:jc w:val="both"/>
              <w:rPr>
                <w:rFonts w:eastAsia="Times New Roman" w:cs="Times New Roman"/>
                <w:color w:val="000000"/>
                <w:sz w:val="22"/>
                <w:szCs w:val="22"/>
                <w:lang w:eastAsia="pl-PL"/>
              </w:rPr>
            </w:pPr>
          </w:p>
        </w:tc>
        <w:tc>
          <w:tcPr>
            <w:tcW w:w="9271" w:type="dxa"/>
            <w:gridSpan w:val="11"/>
            <w:tcBorders>
              <w:top w:val="nil"/>
              <w:left w:val="nil"/>
              <w:bottom w:val="nil"/>
              <w:right w:val="nil"/>
            </w:tcBorders>
            <w:shd w:val="clear" w:color="auto" w:fill="auto"/>
            <w:noWrap/>
            <w:vAlign w:val="bottom"/>
            <w:hideMark/>
          </w:tcPr>
          <w:p w14:paraId="222ABD58" w14:textId="77777777" w:rsidR="0052052D" w:rsidRPr="0052052D" w:rsidRDefault="0052052D" w:rsidP="0052052D">
            <w:pPr>
              <w:jc w:val="both"/>
              <w:rPr>
                <w:rFonts w:eastAsia="Times New Roman" w:cs="Times New Roman"/>
                <w:b/>
                <w:bCs/>
                <w:i/>
                <w:iCs/>
                <w:sz w:val="22"/>
                <w:szCs w:val="22"/>
                <w:lang w:eastAsia="pl-PL"/>
              </w:rPr>
            </w:pPr>
            <w:r w:rsidRPr="0052052D">
              <w:rPr>
                <w:rFonts w:eastAsia="Times New Roman" w:cs="Times New Roman"/>
                <w:b/>
                <w:bCs/>
                <w:i/>
                <w:iCs/>
                <w:sz w:val="22"/>
                <w:szCs w:val="22"/>
                <w:lang w:eastAsia="pl-PL"/>
              </w:rPr>
              <w:t>Płyn do mycia ciała pacjentów skolonizowanych patogenami alarmowymi /</w:t>
            </w:r>
            <w:proofErr w:type="spellStart"/>
            <w:r w:rsidRPr="0052052D">
              <w:rPr>
                <w:rFonts w:eastAsia="Times New Roman" w:cs="Times New Roman"/>
                <w:b/>
                <w:bCs/>
                <w:i/>
                <w:iCs/>
                <w:sz w:val="22"/>
                <w:szCs w:val="22"/>
                <w:lang w:eastAsia="pl-PL"/>
              </w:rPr>
              <w:t>np</w:t>
            </w:r>
            <w:proofErr w:type="spellEnd"/>
            <w:r w:rsidRPr="0052052D">
              <w:rPr>
                <w:rFonts w:eastAsia="Times New Roman" w:cs="Times New Roman"/>
                <w:b/>
                <w:bCs/>
                <w:i/>
                <w:iCs/>
                <w:sz w:val="22"/>
                <w:szCs w:val="22"/>
                <w:lang w:eastAsia="pl-PL"/>
              </w:rPr>
              <w:t xml:space="preserve"> MRSA/, max. 80 pkt.:</w:t>
            </w:r>
          </w:p>
        </w:tc>
      </w:tr>
      <w:tr w:rsidR="0052052D" w:rsidRPr="0052052D" w14:paraId="0020B58A" w14:textId="77777777" w:rsidTr="0052052D">
        <w:trPr>
          <w:trHeight w:val="240"/>
        </w:trPr>
        <w:tc>
          <w:tcPr>
            <w:tcW w:w="308" w:type="dxa"/>
            <w:tcBorders>
              <w:top w:val="nil"/>
              <w:left w:val="nil"/>
              <w:bottom w:val="nil"/>
              <w:right w:val="nil"/>
            </w:tcBorders>
            <w:shd w:val="clear" w:color="auto" w:fill="auto"/>
            <w:noWrap/>
            <w:vAlign w:val="bottom"/>
            <w:hideMark/>
          </w:tcPr>
          <w:p w14:paraId="2FA4FF35"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1.</w:t>
            </w:r>
          </w:p>
        </w:tc>
        <w:tc>
          <w:tcPr>
            <w:tcW w:w="5825" w:type="dxa"/>
            <w:gridSpan w:val="5"/>
            <w:tcBorders>
              <w:top w:val="nil"/>
              <w:left w:val="nil"/>
              <w:bottom w:val="nil"/>
              <w:right w:val="nil"/>
            </w:tcBorders>
            <w:shd w:val="clear" w:color="auto" w:fill="auto"/>
            <w:noWrap/>
            <w:vAlign w:val="bottom"/>
            <w:hideMark/>
          </w:tcPr>
          <w:p w14:paraId="67DF6519"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powodujący wysuszenie, zaczerwienienie, swędzenie skóry</w:t>
            </w:r>
          </w:p>
        </w:tc>
        <w:tc>
          <w:tcPr>
            <w:tcW w:w="420" w:type="dxa"/>
            <w:tcBorders>
              <w:top w:val="nil"/>
              <w:left w:val="nil"/>
              <w:bottom w:val="nil"/>
              <w:right w:val="nil"/>
            </w:tcBorders>
            <w:shd w:val="clear" w:color="auto" w:fill="auto"/>
            <w:noWrap/>
            <w:vAlign w:val="bottom"/>
            <w:hideMark/>
          </w:tcPr>
          <w:p w14:paraId="00366FEA" w14:textId="77777777" w:rsidR="0052052D" w:rsidRPr="0052052D" w:rsidRDefault="0052052D" w:rsidP="0052052D">
            <w:pPr>
              <w:jc w:val="both"/>
              <w:rPr>
                <w:rFonts w:eastAsia="Times New Roman" w:cs="Times New Roman"/>
                <w:sz w:val="22"/>
                <w:szCs w:val="22"/>
                <w:lang w:eastAsia="pl-PL"/>
              </w:rPr>
            </w:pPr>
          </w:p>
        </w:tc>
        <w:tc>
          <w:tcPr>
            <w:tcW w:w="475" w:type="dxa"/>
            <w:tcBorders>
              <w:top w:val="nil"/>
              <w:left w:val="nil"/>
              <w:bottom w:val="nil"/>
              <w:right w:val="nil"/>
            </w:tcBorders>
            <w:shd w:val="clear" w:color="auto" w:fill="auto"/>
            <w:noWrap/>
            <w:vAlign w:val="bottom"/>
            <w:hideMark/>
          </w:tcPr>
          <w:p w14:paraId="437012D7" w14:textId="77777777" w:rsidR="0052052D" w:rsidRPr="0052052D" w:rsidRDefault="0052052D" w:rsidP="0052052D">
            <w:pPr>
              <w:jc w:val="both"/>
              <w:rPr>
                <w:rFonts w:eastAsia="Times New Roman" w:cs="Times New Roman"/>
                <w:sz w:val="22"/>
                <w:szCs w:val="22"/>
                <w:lang w:eastAsia="pl-PL"/>
              </w:rPr>
            </w:pPr>
          </w:p>
        </w:tc>
        <w:tc>
          <w:tcPr>
            <w:tcW w:w="456" w:type="dxa"/>
            <w:tcBorders>
              <w:top w:val="nil"/>
              <w:left w:val="nil"/>
              <w:bottom w:val="nil"/>
              <w:right w:val="nil"/>
            </w:tcBorders>
            <w:shd w:val="clear" w:color="auto" w:fill="auto"/>
            <w:noWrap/>
            <w:vAlign w:val="bottom"/>
            <w:hideMark/>
          </w:tcPr>
          <w:p w14:paraId="3D8F89BD" w14:textId="77777777" w:rsidR="0052052D" w:rsidRPr="0052052D" w:rsidRDefault="0052052D" w:rsidP="0052052D">
            <w:pPr>
              <w:jc w:val="both"/>
              <w:rPr>
                <w:rFonts w:eastAsia="Times New Roman" w:cs="Times New Roman"/>
                <w:sz w:val="22"/>
                <w:szCs w:val="22"/>
                <w:lang w:eastAsia="pl-PL"/>
              </w:rPr>
            </w:pPr>
          </w:p>
        </w:tc>
        <w:tc>
          <w:tcPr>
            <w:tcW w:w="583" w:type="dxa"/>
            <w:tcBorders>
              <w:top w:val="nil"/>
              <w:left w:val="nil"/>
              <w:bottom w:val="nil"/>
              <w:right w:val="nil"/>
            </w:tcBorders>
            <w:shd w:val="clear" w:color="auto" w:fill="auto"/>
            <w:noWrap/>
            <w:vAlign w:val="bottom"/>
            <w:hideMark/>
          </w:tcPr>
          <w:p w14:paraId="46A3F266" w14:textId="77777777" w:rsidR="0052052D" w:rsidRPr="0052052D" w:rsidRDefault="0052052D" w:rsidP="0052052D">
            <w:pPr>
              <w:jc w:val="both"/>
              <w:rPr>
                <w:rFonts w:eastAsia="Times New Roman" w:cs="Times New Roman"/>
                <w:sz w:val="22"/>
                <w:szCs w:val="22"/>
                <w:lang w:eastAsia="pl-PL"/>
              </w:rPr>
            </w:pPr>
          </w:p>
        </w:tc>
        <w:tc>
          <w:tcPr>
            <w:tcW w:w="765" w:type="dxa"/>
            <w:tcBorders>
              <w:top w:val="nil"/>
              <w:left w:val="nil"/>
              <w:bottom w:val="nil"/>
              <w:right w:val="nil"/>
            </w:tcBorders>
            <w:shd w:val="clear" w:color="auto" w:fill="auto"/>
            <w:noWrap/>
            <w:vAlign w:val="bottom"/>
            <w:hideMark/>
          </w:tcPr>
          <w:p w14:paraId="1A970B9F"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0</w:t>
            </w:r>
          </w:p>
        </w:tc>
        <w:tc>
          <w:tcPr>
            <w:tcW w:w="747" w:type="dxa"/>
            <w:tcBorders>
              <w:top w:val="nil"/>
              <w:left w:val="nil"/>
              <w:bottom w:val="nil"/>
              <w:right w:val="nil"/>
            </w:tcBorders>
            <w:shd w:val="clear" w:color="auto" w:fill="auto"/>
            <w:noWrap/>
            <w:vAlign w:val="bottom"/>
            <w:hideMark/>
          </w:tcPr>
          <w:p w14:paraId="2FA5A110"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25AAE883" w14:textId="77777777" w:rsidTr="0052052D">
        <w:trPr>
          <w:trHeight w:val="240"/>
        </w:trPr>
        <w:tc>
          <w:tcPr>
            <w:tcW w:w="308" w:type="dxa"/>
            <w:tcBorders>
              <w:top w:val="nil"/>
              <w:left w:val="nil"/>
              <w:bottom w:val="nil"/>
              <w:right w:val="nil"/>
            </w:tcBorders>
            <w:shd w:val="clear" w:color="auto" w:fill="auto"/>
            <w:noWrap/>
            <w:vAlign w:val="bottom"/>
            <w:hideMark/>
          </w:tcPr>
          <w:p w14:paraId="01E110A1"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2.</w:t>
            </w:r>
          </w:p>
        </w:tc>
        <w:tc>
          <w:tcPr>
            <w:tcW w:w="6720" w:type="dxa"/>
            <w:gridSpan w:val="7"/>
            <w:tcBorders>
              <w:top w:val="nil"/>
              <w:left w:val="nil"/>
              <w:bottom w:val="nil"/>
              <w:right w:val="nil"/>
            </w:tcBorders>
            <w:shd w:val="clear" w:color="auto" w:fill="auto"/>
            <w:noWrap/>
            <w:vAlign w:val="bottom"/>
            <w:hideMark/>
          </w:tcPr>
          <w:p w14:paraId="3247AB62"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brak efektu drażniącego (wysuszenie, zaczerwienienie, swędzenie skóry)</w:t>
            </w:r>
          </w:p>
        </w:tc>
        <w:tc>
          <w:tcPr>
            <w:tcW w:w="456" w:type="dxa"/>
            <w:tcBorders>
              <w:top w:val="nil"/>
              <w:left w:val="nil"/>
              <w:bottom w:val="nil"/>
              <w:right w:val="nil"/>
            </w:tcBorders>
            <w:shd w:val="clear" w:color="auto" w:fill="auto"/>
            <w:noWrap/>
            <w:vAlign w:val="bottom"/>
            <w:hideMark/>
          </w:tcPr>
          <w:p w14:paraId="0286ADFA" w14:textId="77777777" w:rsidR="0052052D" w:rsidRPr="0052052D" w:rsidRDefault="0052052D" w:rsidP="0052052D">
            <w:pPr>
              <w:jc w:val="both"/>
              <w:rPr>
                <w:rFonts w:eastAsia="Times New Roman" w:cs="Times New Roman"/>
                <w:sz w:val="22"/>
                <w:szCs w:val="22"/>
                <w:lang w:eastAsia="pl-PL"/>
              </w:rPr>
            </w:pPr>
          </w:p>
        </w:tc>
        <w:tc>
          <w:tcPr>
            <w:tcW w:w="583" w:type="dxa"/>
            <w:tcBorders>
              <w:top w:val="nil"/>
              <w:left w:val="nil"/>
              <w:bottom w:val="nil"/>
              <w:right w:val="nil"/>
            </w:tcBorders>
            <w:shd w:val="clear" w:color="auto" w:fill="auto"/>
            <w:noWrap/>
            <w:vAlign w:val="bottom"/>
            <w:hideMark/>
          </w:tcPr>
          <w:p w14:paraId="03CD0C2E" w14:textId="77777777" w:rsidR="0052052D" w:rsidRPr="0052052D" w:rsidRDefault="0052052D" w:rsidP="0052052D">
            <w:pPr>
              <w:jc w:val="both"/>
              <w:rPr>
                <w:rFonts w:eastAsia="Times New Roman" w:cs="Times New Roman"/>
                <w:sz w:val="22"/>
                <w:szCs w:val="22"/>
                <w:lang w:eastAsia="pl-PL"/>
              </w:rPr>
            </w:pPr>
          </w:p>
        </w:tc>
        <w:tc>
          <w:tcPr>
            <w:tcW w:w="765" w:type="dxa"/>
            <w:tcBorders>
              <w:top w:val="nil"/>
              <w:left w:val="nil"/>
              <w:bottom w:val="nil"/>
              <w:right w:val="nil"/>
            </w:tcBorders>
            <w:shd w:val="clear" w:color="auto" w:fill="auto"/>
            <w:noWrap/>
            <w:vAlign w:val="bottom"/>
            <w:hideMark/>
          </w:tcPr>
          <w:p w14:paraId="6C58ECF5"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20</w:t>
            </w:r>
          </w:p>
        </w:tc>
        <w:tc>
          <w:tcPr>
            <w:tcW w:w="747" w:type="dxa"/>
            <w:tcBorders>
              <w:top w:val="nil"/>
              <w:left w:val="nil"/>
              <w:bottom w:val="nil"/>
              <w:right w:val="nil"/>
            </w:tcBorders>
            <w:shd w:val="clear" w:color="auto" w:fill="auto"/>
            <w:noWrap/>
            <w:vAlign w:val="bottom"/>
            <w:hideMark/>
          </w:tcPr>
          <w:p w14:paraId="2A875A96"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237305D1" w14:textId="77777777" w:rsidTr="0052052D">
        <w:trPr>
          <w:trHeight w:val="240"/>
        </w:trPr>
        <w:tc>
          <w:tcPr>
            <w:tcW w:w="308" w:type="dxa"/>
            <w:tcBorders>
              <w:top w:val="nil"/>
              <w:left w:val="nil"/>
              <w:bottom w:val="nil"/>
              <w:right w:val="nil"/>
            </w:tcBorders>
            <w:shd w:val="clear" w:color="auto" w:fill="auto"/>
            <w:noWrap/>
            <w:vAlign w:val="bottom"/>
            <w:hideMark/>
          </w:tcPr>
          <w:p w14:paraId="28A6B006"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3.</w:t>
            </w:r>
          </w:p>
        </w:tc>
        <w:tc>
          <w:tcPr>
            <w:tcW w:w="3530" w:type="dxa"/>
            <w:gridSpan w:val="2"/>
            <w:tcBorders>
              <w:top w:val="nil"/>
              <w:left w:val="nil"/>
              <w:bottom w:val="nil"/>
              <w:right w:val="nil"/>
            </w:tcBorders>
            <w:shd w:val="clear" w:color="000000" w:fill="FFFFFF"/>
            <w:noWrap/>
            <w:vAlign w:val="bottom"/>
            <w:hideMark/>
          </w:tcPr>
          <w:p w14:paraId="1DBBA621"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brak drażniącego zapachu</w:t>
            </w:r>
          </w:p>
        </w:tc>
        <w:tc>
          <w:tcPr>
            <w:tcW w:w="874" w:type="dxa"/>
            <w:tcBorders>
              <w:top w:val="nil"/>
              <w:left w:val="nil"/>
              <w:bottom w:val="nil"/>
              <w:right w:val="nil"/>
            </w:tcBorders>
            <w:shd w:val="clear" w:color="000000" w:fill="FFFFFF"/>
            <w:noWrap/>
            <w:vAlign w:val="bottom"/>
            <w:hideMark/>
          </w:tcPr>
          <w:p w14:paraId="42E1128F"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w:t>
            </w:r>
          </w:p>
        </w:tc>
        <w:tc>
          <w:tcPr>
            <w:tcW w:w="765" w:type="dxa"/>
            <w:tcBorders>
              <w:top w:val="nil"/>
              <w:left w:val="nil"/>
              <w:bottom w:val="nil"/>
              <w:right w:val="nil"/>
            </w:tcBorders>
            <w:shd w:val="clear" w:color="000000" w:fill="FFFFFF"/>
            <w:noWrap/>
            <w:vAlign w:val="bottom"/>
            <w:hideMark/>
          </w:tcPr>
          <w:p w14:paraId="4F91D83B"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w:t>
            </w:r>
          </w:p>
        </w:tc>
        <w:tc>
          <w:tcPr>
            <w:tcW w:w="656" w:type="dxa"/>
            <w:tcBorders>
              <w:top w:val="nil"/>
              <w:left w:val="nil"/>
              <w:bottom w:val="nil"/>
              <w:right w:val="nil"/>
            </w:tcBorders>
            <w:shd w:val="clear" w:color="auto" w:fill="auto"/>
            <w:noWrap/>
            <w:vAlign w:val="bottom"/>
            <w:hideMark/>
          </w:tcPr>
          <w:p w14:paraId="292138EF" w14:textId="77777777" w:rsidR="0052052D" w:rsidRPr="0052052D" w:rsidRDefault="0052052D" w:rsidP="0052052D">
            <w:pPr>
              <w:jc w:val="both"/>
              <w:rPr>
                <w:rFonts w:eastAsia="Times New Roman" w:cs="Times New Roman"/>
                <w:sz w:val="22"/>
                <w:szCs w:val="22"/>
                <w:lang w:eastAsia="pl-PL"/>
              </w:rPr>
            </w:pPr>
          </w:p>
        </w:tc>
        <w:tc>
          <w:tcPr>
            <w:tcW w:w="420" w:type="dxa"/>
            <w:tcBorders>
              <w:top w:val="nil"/>
              <w:left w:val="nil"/>
              <w:bottom w:val="nil"/>
              <w:right w:val="nil"/>
            </w:tcBorders>
            <w:shd w:val="clear" w:color="auto" w:fill="auto"/>
            <w:noWrap/>
            <w:vAlign w:val="bottom"/>
            <w:hideMark/>
          </w:tcPr>
          <w:p w14:paraId="7A91F912" w14:textId="77777777" w:rsidR="0052052D" w:rsidRPr="0052052D" w:rsidRDefault="0052052D" w:rsidP="0052052D">
            <w:pPr>
              <w:jc w:val="both"/>
              <w:rPr>
                <w:rFonts w:eastAsia="Times New Roman" w:cs="Times New Roman"/>
                <w:sz w:val="22"/>
                <w:szCs w:val="22"/>
                <w:lang w:eastAsia="pl-PL"/>
              </w:rPr>
            </w:pPr>
          </w:p>
        </w:tc>
        <w:tc>
          <w:tcPr>
            <w:tcW w:w="475" w:type="dxa"/>
            <w:tcBorders>
              <w:top w:val="nil"/>
              <w:left w:val="nil"/>
              <w:bottom w:val="nil"/>
              <w:right w:val="nil"/>
            </w:tcBorders>
            <w:shd w:val="clear" w:color="auto" w:fill="auto"/>
            <w:noWrap/>
            <w:vAlign w:val="bottom"/>
            <w:hideMark/>
          </w:tcPr>
          <w:p w14:paraId="4D0D15FC" w14:textId="77777777" w:rsidR="0052052D" w:rsidRPr="0052052D" w:rsidRDefault="0052052D" w:rsidP="0052052D">
            <w:pPr>
              <w:jc w:val="both"/>
              <w:rPr>
                <w:rFonts w:eastAsia="Times New Roman" w:cs="Times New Roman"/>
                <w:sz w:val="22"/>
                <w:szCs w:val="22"/>
                <w:lang w:eastAsia="pl-PL"/>
              </w:rPr>
            </w:pPr>
          </w:p>
        </w:tc>
        <w:tc>
          <w:tcPr>
            <w:tcW w:w="456" w:type="dxa"/>
            <w:tcBorders>
              <w:top w:val="nil"/>
              <w:left w:val="nil"/>
              <w:bottom w:val="nil"/>
              <w:right w:val="nil"/>
            </w:tcBorders>
            <w:shd w:val="clear" w:color="auto" w:fill="auto"/>
            <w:noWrap/>
            <w:vAlign w:val="bottom"/>
            <w:hideMark/>
          </w:tcPr>
          <w:p w14:paraId="0A113480" w14:textId="77777777" w:rsidR="0052052D" w:rsidRPr="0052052D" w:rsidRDefault="0052052D" w:rsidP="0052052D">
            <w:pPr>
              <w:jc w:val="both"/>
              <w:rPr>
                <w:rFonts w:eastAsia="Times New Roman" w:cs="Times New Roman"/>
                <w:sz w:val="22"/>
                <w:szCs w:val="22"/>
                <w:lang w:eastAsia="pl-PL"/>
              </w:rPr>
            </w:pPr>
          </w:p>
        </w:tc>
        <w:tc>
          <w:tcPr>
            <w:tcW w:w="583" w:type="dxa"/>
            <w:tcBorders>
              <w:top w:val="nil"/>
              <w:left w:val="nil"/>
              <w:bottom w:val="nil"/>
              <w:right w:val="nil"/>
            </w:tcBorders>
            <w:shd w:val="clear" w:color="auto" w:fill="auto"/>
            <w:noWrap/>
            <w:vAlign w:val="bottom"/>
            <w:hideMark/>
          </w:tcPr>
          <w:p w14:paraId="5117BEB5" w14:textId="77777777" w:rsidR="0052052D" w:rsidRPr="0052052D" w:rsidRDefault="0052052D" w:rsidP="0052052D">
            <w:pPr>
              <w:jc w:val="both"/>
              <w:rPr>
                <w:rFonts w:eastAsia="Times New Roman" w:cs="Times New Roman"/>
                <w:sz w:val="22"/>
                <w:szCs w:val="22"/>
                <w:lang w:eastAsia="pl-PL"/>
              </w:rPr>
            </w:pPr>
          </w:p>
        </w:tc>
        <w:tc>
          <w:tcPr>
            <w:tcW w:w="765" w:type="dxa"/>
            <w:tcBorders>
              <w:top w:val="nil"/>
              <w:left w:val="nil"/>
              <w:bottom w:val="nil"/>
              <w:right w:val="nil"/>
            </w:tcBorders>
            <w:shd w:val="clear" w:color="auto" w:fill="auto"/>
            <w:noWrap/>
            <w:vAlign w:val="bottom"/>
            <w:hideMark/>
          </w:tcPr>
          <w:p w14:paraId="16FC060A"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20</w:t>
            </w:r>
          </w:p>
        </w:tc>
        <w:tc>
          <w:tcPr>
            <w:tcW w:w="747" w:type="dxa"/>
            <w:tcBorders>
              <w:top w:val="nil"/>
              <w:left w:val="nil"/>
              <w:bottom w:val="nil"/>
              <w:right w:val="nil"/>
            </w:tcBorders>
            <w:shd w:val="clear" w:color="auto" w:fill="auto"/>
            <w:noWrap/>
            <w:vAlign w:val="bottom"/>
            <w:hideMark/>
          </w:tcPr>
          <w:p w14:paraId="5D8070C4"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30FC529F" w14:textId="77777777" w:rsidTr="0052052D">
        <w:trPr>
          <w:trHeight w:val="240"/>
        </w:trPr>
        <w:tc>
          <w:tcPr>
            <w:tcW w:w="308" w:type="dxa"/>
            <w:tcBorders>
              <w:top w:val="nil"/>
              <w:left w:val="nil"/>
              <w:bottom w:val="nil"/>
              <w:right w:val="nil"/>
            </w:tcBorders>
            <w:shd w:val="clear" w:color="auto" w:fill="auto"/>
            <w:noWrap/>
            <w:vAlign w:val="bottom"/>
            <w:hideMark/>
          </w:tcPr>
          <w:p w14:paraId="0EB2EB03"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lastRenderedPageBreak/>
              <w:t>4.</w:t>
            </w:r>
          </w:p>
        </w:tc>
        <w:tc>
          <w:tcPr>
            <w:tcW w:w="3530" w:type="dxa"/>
            <w:gridSpan w:val="2"/>
            <w:tcBorders>
              <w:top w:val="nil"/>
              <w:left w:val="nil"/>
              <w:bottom w:val="nil"/>
              <w:right w:val="nil"/>
            </w:tcBorders>
            <w:shd w:val="clear" w:color="000000" w:fill="FFFFFF"/>
            <w:noWrap/>
            <w:vAlign w:val="bottom"/>
            <w:hideMark/>
          </w:tcPr>
          <w:p w14:paraId="00EE7B88"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o drażniącym zapachu</w:t>
            </w:r>
          </w:p>
        </w:tc>
        <w:tc>
          <w:tcPr>
            <w:tcW w:w="874" w:type="dxa"/>
            <w:tcBorders>
              <w:top w:val="nil"/>
              <w:left w:val="nil"/>
              <w:bottom w:val="nil"/>
              <w:right w:val="nil"/>
            </w:tcBorders>
            <w:shd w:val="clear" w:color="000000" w:fill="FFFFFF"/>
            <w:noWrap/>
            <w:vAlign w:val="bottom"/>
            <w:hideMark/>
          </w:tcPr>
          <w:p w14:paraId="5805AEAD"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w:t>
            </w:r>
          </w:p>
        </w:tc>
        <w:tc>
          <w:tcPr>
            <w:tcW w:w="765" w:type="dxa"/>
            <w:tcBorders>
              <w:top w:val="nil"/>
              <w:left w:val="nil"/>
              <w:bottom w:val="nil"/>
              <w:right w:val="nil"/>
            </w:tcBorders>
            <w:shd w:val="clear" w:color="000000" w:fill="FFFFFF"/>
            <w:noWrap/>
            <w:vAlign w:val="bottom"/>
            <w:hideMark/>
          </w:tcPr>
          <w:p w14:paraId="6D0B0B5F"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w:t>
            </w:r>
          </w:p>
        </w:tc>
        <w:tc>
          <w:tcPr>
            <w:tcW w:w="656" w:type="dxa"/>
            <w:tcBorders>
              <w:top w:val="nil"/>
              <w:left w:val="nil"/>
              <w:bottom w:val="nil"/>
              <w:right w:val="nil"/>
            </w:tcBorders>
            <w:shd w:val="clear" w:color="auto" w:fill="auto"/>
            <w:noWrap/>
            <w:vAlign w:val="bottom"/>
            <w:hideMark/>
          </w:tcPr>
          <w:p w14:paraId="5BC02FB9" w14:textId="77777777" w:rsidR="0052052D" w:rsidRPr="0052052D" w:rsidRDefault="0052052D" w:rsidP="0052052D">
            <w:pPr>
              <w:jc w:val="both"/>
              <w:rPr>
                <w:rFonts w:eastAsia="Times New Roman" w:cs="Times New Roman"/>
                <w:sz w:val="22"/>
                <w:szCs w:val="22"/>
                <w:lang w:eastAsia="pl-PL"/>
              </w:rPr>
            </w:pPr>
          </w:p>
        </w:tc>
        <w:tc>
          <w:tcPr>
            <w:tcW w:w="420" w:type="dxa"/>
            <w:tcBorders>
              <w:top w:val="nil"/>
              <w:left w:val="nil"/>
              <w:bottom w:val="nil"/>
              <w:right w:val="nil"/>
            </w:tcBorders>
            <w:shd w:val="clear" w:color="auto" w:fill="auto"/>
            <w:noWrap/>
            <w:vAlign w:val="bottom"/>
            <w:hideMark/>
          </w:tcPr>
          <w:p w14:paraId="76F3C1EB" w14:textId="77777777" w:rsidR="0052052D" w:rsidRPr="0052052D" w:rsidRDefault="0052052D" w:rsidP="0052052D">
            <w:pPr>
              <w:jc w:val="both"/>
              <w:rPr>
                <w:rFonts w:eastAsia="Times New Roman" w:cs="Times New Roman"/>
                <w:sz w:val="22"/>
                <w:szCs w:val="22"/>
                <w:lang w:eastAsia="pl-PL"/>
              </w:rPr>
            </w:pPr>
          </w:p>
        </w:tc>
        <w:tc>
          <w:tcPr>
            <w:tcW w:w="475" w:type="dxa"/>
            <w:tcBorders>
              <w:top w:val="nil"/>
              <w:left w:val="nil"/>
              <w:bottom w:val="nil"/>
              <w:right w:val="nil"/>
            </w:tcBorders>
            <w:shd w:val="clear" w:color="auto" w:fill="auto"/>
            <w:noWrap/>
            <w:vAlign w:val="bottom"/>
            <w:hideMark/>
          </w:tcPr>
          <w:p w14:paraId="00633BED" w14:textId="77777777" w:rsidR="0052052D" w:rsidRPr="0052052D" w:rsidRDefault="0052052D" w:rsidP="0052052D">
            <w:pPr>
              <w:jc w:val="both"/>
              <w:rPr>
                <w:rFonts w:eastAsia="Times New Roman" w:cs="Times New Roman"/>
                <w:sz w:val="22"/>
                <w:szCs w:val="22"/>
                <w:lang w:eastAsia="pl-PL"/>
              </w:rPr>
            </w:pPr>
          </w:p>
        </w:tc>
        <w:tc>
          <w:tcPr>
            <w:tcW w:w="456" w:type="dxa"/>
            <w:tcBorders>
              <w:top w:val="nil"/>
              <w:left w:val="nil"/>
              <w:bottom w:val="nil"/>
              <w:right w:val="nil"/>
            </w:tcBorders>
            <w:shd w:val="clear" w:color="auto" w:fill="auto"/>
            <w:noWrap/>
            <w:vAlign w:val="bottom"/>
            <w:hideMark/>
          </w:tcPr>
          <w:p w14:paraId="79FEA7C5" w14:textId="77777777" w:rsidR="0052052D" w:rsidRPr="0052052D" w:rsidRDefault="0052052D" w:rsidP="0052052D">
            <w:pPr>
              <w:jc w:val="both"/>
              <w:rPr>
                <w:rFonts w:eastAsia="Times New Roman" w:cs="Times New Roman"/>
                <w:sz w:val="22"/>
                <w:szCs w:val="22"/>
                <w:lang w:eastAsia="pl-PL"/>
              </w:rPr>
            </w:pPr>
          </w:p>
        </w:tc>
        <w:tc>
          <w:tcPr>
            <w:tcW w:w="583" w:type="dxa"/>
            <w:tcBorders>
              <w:top w:val="nil"/>
              <w:left w:val="nil"/>
              <w:bottom w:val="nil"/>
              <w:right w:val="nil"/>
            </w:tcBorders>
            <w:shd w:val="clear" w:color="auto" w:fill="auto"/>
            <w:noWrap/>
            <w:vAlign w:val="bottom"/>
            <w:hideMark/>
          </w:tcPr>
          <w:p w14:paraId="39772502" w14:textId="77777777" w:rsidR="0052052D" w:rsidRPr="0052052D" w:rsidRDefault="0052052D" w:rsidP="0052052D">
            <w:pPr>
              <w:jc w:val="both"/>
              <w:rPr>
                <w:rFonts w:eastAsia="Times New Roman" w:cs="Times New Roman"/>
                <w:sz w:val="22"/>
                <w:szCs w:val="22"/>
                <w:lang w:eastAsia="pl-PL"/>
              </w:rPr>
            </w:pPr>
          </w:p>
        </w:tc>
        <w:tc>
          <w:tcPr>
            <w:tcW w:w="765" w:type="dxa"/>
            <w:tcBorders>
              <w:top w:val="nil"/>
              <w:left w:val="nil"/>
              <w:bottom w:val="nil"/>
              <w:right w:val="nil"/>
            </w:tcBorders>
            <w:shd w:val="clear" w:color="auto" w:fill="auto"/>
            <w:noWrap/>
            <w:vAlign w:val="bottom"/>
            <w:hideMark/>
          </w:tcPr>
          <w:p w14:paraId="2AD389EE"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1</w:t>
            </w:r>
          </w:p>
        </w:tc>
        <w:tc>
          <w:tcPr>
            <w:tcW w:w="747" w:type="dxa"/>
            <w:tcBorders>
              <w:top w:val="nil"/>
              <w:left w:val="nil"/>
              <w:bottom w:val="nil"/>
              <w:right w:val="nil"/>
            </w:tcBorders>
            <w:shd w:val="clear" w:color="auto" w:fill="auto"/>
            <w:noWrap/>
            <w:vAlign w:val="bottom"/>
            <w:hideMark/>
          </w:tcPr>
          <w:p w14:paraId="105F3EE3"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3F1C45C0" w14:textId="77777777" w:rsidTr="0052052D">
        <w:trPr>
          <w:trHeight w:val="240"/>
        </w:trPr>
        <w:tc>
          <w:tcPr>
            <w:tcW w:w="308" w:type="dxa"/>
            <w:tcBorders>
              <w:top w:val="nil"/>
              <w:left w:val="nil"/>
              <w:bottom w:val="nil"/>
              <w:right w:val="nil"/>
            </w:tcBorders>
            <w:shd w:val="clear" w:color="auto" w:fill="auto"/>
            <w:noWrap/>
            <w:vAlign w:val="bottom"/>
            <w:hideMark/>
          </w:tcPr>
          <w:p w14:paraId="5AFA7487"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5.</w:t>
            </w:r>
          </w:p>
        </w:tc>
        <w:tc>
          <w:tcPr>
            <w:tcW w:w="4404" w:type="dxa"/>
            <w:gridSpan w:val="3"/>
            <w:tcBorders>
              <w:top w:val="nil"/>
              <w:left w:val="nil"/>
              <w:bottom w:val="nil"/>
              <w:right w:val="nil"/>
            </w:tcBorders>
            <w:shd w:val="clear" w:color="000000" w:fill="FFFFFF"/>
            <w:noWrap/>
            <w:vAlign w:val="bottom"/>
            <w:hideMark/>
          </w:tcPr>
          <w:p w14:paraId="555545EB"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xml:space="preserve">o dobrych właściwościach myjących </w:t>
            </w:r>
          </w:p>
        </w:tc>
        <w:tc>
          <w:tcPr>
            <w:tcW w:w="765" w:type="dxa"/>
            <w:tcBorders>
              <w:top w:val="nil"/>
              <w:left w:val="nil"/>
              <w:bottom w:val="nil"/>
              <w:right w:val="nil"/>
            </w:tcBorders>
            <w:shd w:val="clear" w:color="000000" w:fill="FFFFFF"/>
            <w:noWrap/>
            <w:vAlign w:val="bottom"/>
            <w:hideMark/>
          </w:tcPr>
          <w:p w14:paraId="43683145"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 </w:t>
            </w:r>
          </w:p>
        </w:tc>
        <w:tc>
          <w:tcPr>
            <w:tcW w:w="656" w:type="dxa"/>
            <w:tcBorders>
              <w:top w:val="nil"/>
              <w:left w:val="nil"/>
              <w:bottom w:val="nil"/>
              <w:right w:val="nil"/>
            </w:tcBorders>
            <w:shd w:val="clear" w:color="auto" w:fill="auto"/>
            <w:noWrap/>
            <w:vAlign w:val="bottom"/>
            <w:hideMark/>
          </w:tcPr>
          <w:p w14:paraId="0F37094C" w14:textId="77777777" w:rsidR="0052052D" w:rsidRPr="0052052D" w:rsidRDefault="0052052D" w:rsidP="0052052D">
            <w:pPr>
              <w:jc w:val="both"/>
              <w:rPr>
                <w:rFonts w:eastAsia="Times New Roman" w:cs="Times New Roman"/>
                <w:sz w:val="22"/>
                <w:szCs w:val="22"/>
                <w:lang w:eastAsia="pl-PL"/>
              </w:rPr>
            </w:pPr>
          </w:p>
        </w:tc>
        <w:tc>
          <w:tcPr>
            <w:tcW w:w="420" w:type="dxa"/>
            <w:tcBorders>
              <w:top w:val="nil"/>
              <w:left w:val="nil"/>
              <w:bottom w:val="nil"/>
              <w:right w:val="nil"/>
            </w:tcBorders>
            <w:shd w:val="clear" w:color="auto" w:fill="auto"/>
            <w:noWrap/>
            <w:vAlign w:val="bottom"/>
            <w:hideMark/>
          </w:tcPr>
          <w:p w14:paraId="4D6C6B4C" w14:textId="77777777" w:rsidR="0052052D" w:rsidRPr="0052052D" w:rsidRDefault="0052052D" w:rsidP="0052052D">
            <w:pPr>
              <w:jc w:val="both"/>
              <w:rPr>
                <w:rFonts w:eastAsia="Times New Roman" w:cs="Times New Roman"/>
                <w:sz w:val="22"/>
                <w:szCs w:val="22"/>
                <w:lang w:eastAsia="pl-PL"/>
              </w:rPr>
            </w:pPr>
          </w:p>
        </w:tc>
        <w:tc>
          <w:tcPr>
            <w:tcW w:w="475" w:type="dxa"/>
            <w:tcBorders>
              <w:top w:val="nil"/>
              <w:left w:val="nil"/>
              <w:bottom w:val="nil"/>
              <w:right w:val="nil"/>
            </w:tcBorders>
            <w:shd w:val="clear" w:color="auto" w:fill="auto"/>
            <w:noWrap/>
            <w:vAlign w:val="bottom"/>
            <w:hideMark/>
          </w:tcPr>
          <w:p w14:paraId="535D0F69" w14:textId="77777777" w:rsidR="0052052D" w:rsidRPr="0052052D" w:rsidRDefault="0052052D" w:rsidP="0052052D">
            <w:pPr>
              <w:jc w:val="both"/>
              <w:rPr>
                <w:rFonts w:eastAsia="Times New Roman" w:cs="Times New Roman"/>
                <w:sz w:val="22"/>
                <w:szCs w:val="22"/>
                <w:lang w:eastAsia="pl-PL"/>
              </w:rPr>
            </w:pPr>
          </w:p>
        </w:tc>
        <w:tc>
          <w:tcPr>
            <w:tcW w:w="456" w:type="dxa"/>
            <w:tcBorders>
              <w:top w:val="nil"/>
              <w:left w:val="nil"/>
              <w:bottom w:val="nil"/>
              <w:right w:val="nil"/>
            </w:tcBorders>
            <w:shd w:val="clear" w:color="auto" w:fill="auto"/>
            <w:noWrap/>
            <w:vAlign w:val="bottom"/>
            <w:hideMark/>
          </w:tcPr>
          <w:p w14:paraId="34250FF4" w14:textId="77777777" w:rsidR="0052052D" w:rsidRPr="0052052D" w:rsidRDefault="0052052D" w:rsidP="0052052D">
            <w:pPr>
              <w:jc w:val="both"/>
              <w:rPr>
                <w:rFonts w:eastAsia="Times New Roman" w:cs="Times New Roman"/>
                <w:sz w:val="22"/>
                <w:szCs w:val="22"/>
                <w:lang w:eastAsia="pl-PL"/>
              </w:rPr>
            </w:pPr>
          </w:p>
        </w:tc>
        <w:tc>
          <w:tcPr>
            <w:tcW w:w="583" w:type="dxa"/>
            <w:tcBorders>
              <w:top w:val="nil"/>
              <w:left w:val="nil"/>
              <w:bottom w:val="nil"/>
              <w:right w:val="nil"/>
            </w:tcBorders>
            <w:shd w:val="clear" w:color="auto" w:fill="auto"/>
            <w:noWrap/>
            <w:vAlign w:val="bottom"/>
            <w:hideMark/>
          </w:tcPr>
          <w:p w14:paraId="0CE1D132" w14:textId="77777777" w:rsidR="0052052D" w:rsidRPr="0052052D" w:rsidRDefault="0052052D" w:rsidP="0052052D">
            <w:pPr>
              <w:jc w:val="both"/>
              <w:rPr>
                <w:rFonts w:eastAsia="Times New Roman" w:cs="Times New Roman"/>
                <w:sz w:val="22"/>
                <w:szCs w:val="22"/>
                <w:lang w:eastAsia="pl-PL"/>
              </w:rPr>
            </w:pPr>
          </w:p>
        </w:tc>
        <w:tc>
          <w:tcPr>
            <w:tcW w:w="765" w:type="dxa"/>
            <w:tcBorders>
              <w:top w:val="nil"/>
              <w:left w:val="nil"/>
              <w:bottom w:val="nil"/>
              <w:right w:val="nil"/>
            </w:tcBorders>
            <w:shd w:val="clear" w:color="auto" w:fill="auto"/>
            <w:noWrap/>
            <w:vAlign w:val="bottom"/>
            <w:hideMark/>
          </w:tcPr>
          <w:p w14:paraId="4E231E90"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20</w:t>
            </w:r>
          </w:p>
        </w:tc>
        <w:tc>
          <w:tcPr>
            <w:tcW w:w="747" w:type="dxa"/>
            <w:tcBorders>
              <w:top w:val="nil"/>
              <w:left w:val="nil"/>
              <w:bottom w:val="nil"/>
              <w:right w:val="nil"/>
            </w:tcBorders>
            <w:shd w:val="clear" w:color="auto" w:fill="auto"/>
            <w:noWrap/>
            <w:vAlign w:val="bottom"/>
            <w:hideMark/>
          </w:tcPr>
          <w:p w14:paraId="34586B61"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64369FEF" w14:textId="77777777" w:rsidTr="0052052D">
        <w:trPr>
          <w:trHeight w:val="240"/>
        </w:trPr>
        <w:tc>
          <w:tcPr>
            <w:tcW w:w="308" w:type="dxa"/>
            <w:tcBorders>
              <w:top w:val="nil"/>
              <w:left w:val="nil"/>
              <w:bottom w:val="nil"/>
              <w:right w:val="nil"/>
            </w:tcBorders>
            <w:shd w:val="clear" w:color="auto" w:fill="auto"/>
            <w:noWrap/>
            <w:vAlign w:val="bottom"/>
            <w:hideMark/>
          </w:tcPr>
          <w:p w14:paraId="3AACA49A"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6.</w:t>
            </w:r>
          </w:p>
        </w:tc>
        <w:tc>
          <w:tcPr>
            <w:tcW w:w="7759" w:type="dxa"/>
            <w:gridSpan w:val="9"/>
            <w:tcBorders>
              <w:top w:val="nil"/>
              <w:left w:val="nil"/>
              <w:bottom w:val="nil"/>
              <w:right w:val="nil"/>
            </w:tcBorders>
            <w:shd w:val="clear" w:color="000000" w:fill="FFFFFF"/>
            <w:noWrap/>
            <w:vAlign w:val="bottom"/>
            <w:hideMark/>
          </w:tcPr>
          <w:p w14:paraId="0C337739" w14:textId="77777777" w:rsidR="0052052D" w:rsidRPr="0052052D" w:rsidRDefault="0052052D" w:rsidP="0052052D">
            <w:pPr>
              <w:jc w:val="both"/>
              <w:rPr>
                <w:rFonts w:eastAsia="Times New Roman" w:cs="Times New Roman"/>
                <w:b/>
                <w:bCs/>
                <w:sz w:val="22"/>
                <w:szCs w:val="22"/>
                <w:lang w:eastAsia="pl-PL"/>
              </w:rPr>
            </w:pPr>
            <w:r w:rsidRPr="0052052D">
              <w:rPr>
                <w:rFonts w:eastAsia="Times New Roman" w:cs="Times New Roman"/>
                <w:sz w:val="22"/>
                <w:szCs w:val="22"/>
                <w:lang w:eastAsia="pl-PL"/>
              </w:rPr>
              <w:t>o słabych właściwościach myjących</w:t>
            </w:r>
          </w:p>
        </w:tc>
        <w:tc>
          <w:tcPr>
            <w:tcW w:w="765" w:type="dxa"/>
            <w:tcBorders>
              <w:top w:val="nil"/>
              <w:left w:val="nil"/>
              <w:bottom w:val="nil"/>
              <w:right w:val="nil"/>
            </w:tcBorders>
            <w:shd w:val="clear" w:color="auto" w:fill="auto"/>
            <w:noWrap/>
            <w:hideMark/>
          </w:tcPr>
          <w:p w14:paraId="2D717FEE"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1</w:t>
            </w:r>
          </w:p>
        </w:tc>
        <w:tc>
          <w:tcPr>
            <w:tcW w:w="747" w:type="dxa"/>
            <w:tcBorders>
              <w:top w:val="nil"/>
              <w:left w:val="nil"/>
              <w:bottom w:val="nil"/>
              <w:right w:val="nil"/>
            </w:tcBorders>
            <w:shd w:val="clear" w:color="auto" w:fill="auto"/>
            <w:noWrap/>
            <w:vAlign w:val="bottom"/>
            <w:hideMark/>
          </w:tcPr>
          <w:p w14:paraId="7645861B"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214841B6" w14:textId="77777777" w:rsidTr="0052052D">
        <w:trPr>
          <w:trHeight w:val="240"/>
        </w:trPr>
        <w:tc>
          <w:tcPr>
            <w:tcW w:w="308" w:type="dxa"/>
            <w:tcBorders>
              <w:top w:val="nil"/>
              <w:left w:val="nil"/>
              <w:bottom w:val="nil"/>
              <w:right w:val="nil"/>
            </w:tcBorders>
            <w:shd w:val="clear" w:color="auto" w:fill="auto"/>
            <w:noWrap/>
            <w:vAlign w:val="bottom"/>
            <w:hideMark/>
          </w:tcPr>
          <w:p w14:paraId="1EA283D8"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7.</w:t>
            </w:r>
          </w:p>
        </w:tc>
        <w:tc>
          <w:tcPr>
            <w:tcW w:w="7759" w:type="dxa"/>
            <w:gridSpan w:val="9"/>
            <w:tcBorders>
              <w:top w:val="nil"/>
              <w:left w:val="nil"/>
              <w:bottom w:val="nil"/>
              <w:right w:val="nil"/>
            </w:tcBorders>
            <w:shd w:val="clear" w:color="auto" w:fill="auto"/>
            <w:noWrap/>
            <w:hideMark/>
          </w:tcPr>
          <w:p w14:paraId="5BA8BE26"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o zalecanym czasie ekspozycji 60 sekund</w:t>
            </w:r>
          </w:p>
        </w:tc>
        <w:tc>
          <w:tcPr>
            <w:tcW w:w="765" w:type="dxa"/>
            <w:tcBorders>
              <w:top w:val="nil"/>
              <w:left w:val="nil"/>
              <w:bottom w:val="nil"/>
              <w:right w:val="nil"/>
            </w:tcBorders>
            <w:shd w:val="clear" w:color="auto" w:fill="auto"/>
            <w:noWrap/>
            <w:hideMark/>
          </w:tcPr>
          <w:p w14:paraId="739398FC"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20</w:t>
            </w:r>
          </w:p>
        </w:tc>
        <w:tc>
          <w:tcPr>
            <w:tcW w:w="747" w:type="dxa"/>
            <w:tcBorders>
              <w:top w:val="nil"/>
              <w:left w:val="nil"/>
              <w:bottom w:val="nil"/>
              <w:right w:val="nil"/>
            </w:tcBorders>
            <w:shd w:val="clear" w:color="auto" w:fill="auto"/>
            <w:noWrap/>
            <w:vAlign w:val="bottom"/>
            <w:hideMark/>
          </w:tcPr>
          <w:p w14:paraId="0060EBF2"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r w:rsidR="0052052D" w:rsidRPr="0052052D" w14:paraId="41FFCE3A" w14:textId="77777777" w:rsidTr="0052052D">
        <w:trPr>
          <w:trHeight w:val="255"/>
        </w:trPr>
        <w:tc>
          <w:tcPr>
            <w:tcW w:w="308" w:type="dxa"/>
            <w:tcBorders>
              <w:top w:val="nil"/>
              <w:left w:val="nil"/>
              <w:bottom w:val="nil"/>
              <w:right w:val="nil"/>
            </w:tcBorders>
            <w:shd w:val="clear" w:color="auto" w:fill="auto"/>
            <w:noWrap/>
            <w:vAlign w:val="bottom"/>
            <w:hideMark/>
          </w:tcPr>
          <w:p w14:paraId="6C0DAFB1"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8.</w:t>
            </w:r>
          </w:p>
        </w:tc>
        <w:tc>
          <w:tcPr>
            <w:tcW w:w="7759" w:type="dxa"/>
            <w:gridSpan w:val="9"/>
            <w:tcBorders>
              <w:top w:val="nil"/>
              <w:left w:val="nil"/>
              <w:bottom w:val="nil"/>
              <w:right w:val="nil"/>
            </w:tcBorders>
            <w:shd w:val="clear" w:color="auto" w:fill="auto"/>
            <w:noWrap/>
            <w:hideMark/>
          </w:tcPr>
          <w:p w14:paraId="641A19F3"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o zalecanym czasie ekspozycji  &gt; 60 sekund</w:t>
            </w:r>
          </w:p>
        </w:tc>
        <w:tc>
          <w:tcPr>
            <w:tcW w:w="765" w:type="dxa"/>
            <w:tcBorders>
              <w:top w:val="nil"/>
              <w:left w:val="nil"/>
              <w:bottom w:val="nil"/>
              <w:right w:val="nil"/>
            </w:tcBorders>
            <w:shd w:val="clear" w:color="auto" w:fill="auto"/>
            <w:noWrap/>
            <w:hideMark/>
          </w:tcPr>
          <w:p w14:paraId="58627AD5"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5</w:t>
            </w:r>
          </w:p>
        </w:tc>
        <w:tc>
          <w:tcPr>
            <w:tcW w:w="747" w:type="dxa"/>
            <w:tcBorders>
              <w:top w:val="nil"/>
              <w:left w:val="nil"/>
              <w:bottom w:val="nil"/>
              <w:right w:val="nil"/>
            </w:tcBorders>
            <w:shd w:val="clear" w:color="auto" w:fill="auto"/>
            <w:noWrap/>
            <w:vAlign w:val="bottom"/>
            <w:hideMark/>
          </w:tcPr>
          <w:p w14:paraId="550F2B5F" w14:textId="77777777" w:rsidR="0052052D" w:rsidRPr="0052052D" w:rsidRDefault="0052052D" w:rsidP="0052052D">
            <w:pPr>
              <w:jc w:val="both"/>
              <w:rPr>
                <w:rFonts w:eastAsia="Times New Roman" w:cs="Times New Roman"/>
                <w:sz w:val="22"/>
                <w:szCs w:val="22"/>
                <w:lang w:eastAsia="pl-PL"/>
              </w:rPr>
            </w:pPr>
            <w:r w:rsidRPr="0052052D">
              <w:rPr>
                <w:rFonts w:eastAsia="Times New Roman" w:cs="Times New Roman"/>
                <w:sz w:val="22"/>
                <w:szCs w:val="22"/>
                <w:lang w:eastAsia="pl-PL"/>
              </w:rPr>
              <w:t>pkt.</w:t>
            </w:r>
          </w:p>
        </w:tc>
      </w:tr>
    </w:tbl>
    <w:p w14:paraId="0D97646F" w14:textId="77777777" w:rsidR="0052052D" w:rsidRPr="0052052D" w:rsidRDefault="0052052D" w:rsidP="0052052D">
      <w:pPr>
        <w:jc w:val="both"/>
        <w:rPr>
          <w:rFonts w:eastAsia="Calibri" w:cs="Times New Roman"/>
          <w:b/>
          <w:sz w:val="22"/>
          <w:szCs w:val="22"/>
        </w:rPr>
      </w:pPr>
    </w:p>
    <w:p w14:paraId="5E0019AD"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2 poz. 1:</w:t>
      </w:r>
    </w:p>
    <w:p w14:paraId="44E5E1AE" w14:textId="3FF298CC"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Czy nie nastąpiła omyłka w zapisie pod pakietem (pkt.8 pod pakietem) dot. rejestracji produktu, prosimy o doprecyzowanie że Zamawiający wymaga wyrobu medycznego kl. IIA.</w:t>
      </w:r>
    </w:p>
    <w:p w14:paraId="420FB643" w14:textId="77777777" w:rsidR="0052052D" w:rsidRPr="0052052D" w:rsidRDefault="0052052D" w:rsidP="0052052D">
      <w:pPr>
        <w:jc w:val="both"/>
        <w:rPr>
          <w:rFonts w:eastAsia="Calibri" w:cs="Times New Roman"/>
          <w:b/>
          <w:sz w:val="22"/>
          <w:szCs w:val="22"/>
        </w:rPr>
      </w:pPr>
      <w:r w:rsidRPr="0052052D">
        <w:rPr>
          <w:rFonts w:eastAsia="Calibri" w:cs="Times New Roman"/>
          <w:b/>
          <w:sz w:val="22"/>
          <w:szCs w:val="22"/>
        </w:rPr>
        <w:t>Odp.: Zgodnie z wymaganiami dla zadania nr 2, pozycja nr 1, punkt 1. - Zamawiający wymaga wyrobu medycznego kl. IIA; punkt nr 8 zostaje wykreślony.</w:t>
      </w:r>
    </w:p>
    <w:p w14:paraId="2F455809"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2 poz. 1:</w:t>
      </w:r>
    </w:p>
    <w:p w14:paraId="1C351643" w14:textId="014DE168"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Czy Zamawiający dopuści preparat na bazie alkoholi o spektrum działania: B, </w:t>
      </w:r>
      <w:proofErr w:type="spellStart"/>
      <w:r w:rsidRPr="0052052D">
        <w:rPr>
          <w:rFonts w:eastAsia="Calibri" w:cs="Times New Roman"/>
          <w:sz w:val="22"/>
          <w:szCs w:val="22"/>
        </w:rPr>
        <w:t>prątkobójczo</w:t>
      </w:r>
      <w:proofErr w:type="spellEnd"/>
      <w:r w:rsidRPr="0052052D">
        <w:rPr>
          <w:rFonts w:eastAsia="Calibri" w:cs="Times New Roman"/>
          <w:sz w:val="22"/>
          <w:szCs w:val="22"/>
        </w:rPr>
        <w:t xml:space="preserve"> (M. </w:t>
      </w:r>
      <w:proofErr w:type="spellStart"/>
      <w:r w:rsidRPr="0052052D">
        <w:rPr>
          <w:rFonts w:eastAsia="Calibri" w:cs="Times New Roman"/>
          <w:sz w:val="22"/>
          <w:szCs w:val="22"/>
        </w:rPr>
        <w:t>terrae</w:t>
      </w:r>
      <w:proofErr w:type="spellEnd"/>
      <w:r w:rsidRPr="0052052D">
        <w:rPr>
          <w:rFonts w:eastAsia="Calibri" w:cs="Times New Roman"/>
          <w:sz w:val="22"/>
          <w:szCs w:val="22"/>
        </w:rPr>
        <w:t xml:space="preserve">, M. </w:t>
      </w:r>
      <w:proofErr w:type="spellStart"/>
      <w:r w:rsidRPr="0052052D">
        <w:rPr>
          <w:rFonts w:eastAsia="Calibri" w:cs="Times New Roman"/>
          <w:sz w:val="22"/>
          <w:szCs w:val="22"/>
        </w:rPr>
        <w:t>avium</w:t>
      </w:r>
      <w:proofErr w:type="spellEnd"/>
      <w:r w:rsidRPr="0052052D">
        <w:rPr>
          <w:rFonts w:eastAsia="Calibri" w:cs="Times New Roman"/>
          <w:sz w:val="22"/>
          <w:szCs w:val="22"/>
        </w:rPr>
        <w:t xml:space="preserve">) - do 1 minut; F - 2 minuty; V (HIV, HCV, HBV, HSV, </w:t>
      </w:r>
      <w:proofErr w:type="spellStart"/>
      <w:r w:rsidRPr="0052052D">
        <w:rPr>
          <w:rFonts w:eastAsia="Calibri" w:cs="Times New Roman"/>
          <w:sz w:val="22"/>
          <w:szCs w:val="22"/>
        </w:rPr>
        <w:t>Vaccinia</w:t>
      </w:r>
      <w:proofErr w:type="spellEnd"/>
      <w:r w:rsidRPr="0052052D">
        <w:rPr>
          <w:rFonts w:eastAsia="Calibri" w:cs="Times New Roman"/>
          <w:sz w:val="22"/>
          <w:szCs w:val="22"/>
        </w:rPr>
        <w:t xml:space="preserve">, Rota, Noro, </w:t>
      </w:r>
      <w:proofErr w:type="spellStart"/>
      <w:r w:rsidRPr="0052052D">
        <w:rPr>
          <w:rFonts w:eastAsia="Calibri" w:cs="Times New Roman"/>
          <w:sz w:val="22"/>
          <w:szCs w:val="22"/>
        </w:rPr>
        <w:t>Adeno</w:t>
      </w:r>
      <w:proofErr w:type="spellEnd"/>
      <w:r w:rsidRPr="0052052D">
        <w:rPr>
          <w:rFonts w:eastAsia="Calibri" w:cs="Times New Roman"/>
          <w:sz w:val="22"/>
          <w:szCs w:val="22"/>
        </w:rPr>
        <w:t>) - 2 minuty, przy czym Polio do 30 min, na podstawie badań z laboratoriów akredytowanych?</w:t>
      </w:r>
    </w:p>
    <w:p w14:paraId="3BA3C6E8" w14:textId="77777777"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Zamawiający oczekuje wyrobu o właściwościach i spektrum </w:t>
      </w:r>
      <w:proofErr w:type="spellStart"/>
      <w:r w:rsidRPr="0052052D">
        <w:rPr>
          <w:rFonts w:eastAsia="Calibri" w:cs="Times New Roman"/>
          <w:b/>
          <w:sz w:val="22"/>
          <w:szCs w:val="22"/>
        </w:rPr>
        <w:t>bójczym</w:t>
      </w:r>
      <w:proofErr w:type="spellEnd"/>
      <w:r w:rsidRPr="0052052D">
        <w:rPr>
          <w:rFonts w:eastAsia="Calibri" w:cs="Times New Roman"/>
          <w:b/>
          <w:sz w:val="22"/>
          <w:szCs w:val="22"/>
        </w:rPr>
        <w:t xml:space="preserve"> zgodnym  z opisem zawartym w SIWZ.</w:t>
      </w:r>
    </w:p>
    <w:p w14:paraId="01B088CB"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2 poz. 2:</w:t>
      </w:r>
    </w:p>
    <w:p w14:paraId="6C7C8CB0" w14:textId="77777777"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Czy Zamawiający dopuści preparat który jest preparatem przeznaczonym do dezynfekcji np. głowic USG, produkt bez zawartości alkoholi i aldehydów, o spektrum działania: B, F, V (rota, </w:t>
      </w:r>
      <w:proofErr w:type="spellStart"/>
      <w:r w:rsidRPr="0052052D">
        <w:rPr>
          <w:rFonts w:eastAsia="Calibri" w:cs="Times New Roman"/>
          <w:sz w:val="22"/>
          <w:szCs w:val="22"/>
        </w:rPr>
        <w:t>Papova</w:t>
      </w:r>
      <w:proofErr w:type="spellEnd"/>
      <w:r w:rsidRPr="0052052D">
        <w:rPr>
          <w:rFonts w:eastAsia="Calibri" w:cs="Times New Roman"/>
          <w:sz w:val="22"/>
          <w:szCs w:val="22"/>
        </w:rPr>
        <w:t xml:space="preserve"> SV40, </w:t>
      </w:r>
      <w:proofErr w:type="spellStart"/>
      <w:r w:rsidRPr="0052052D">
        <w:rPr>
          <w:rFonts w:eastAsia="Calibri" w:cs="Times New Roman"/>
          <w:sz w:val="22"/>
          <w:szCs w:val="22"/>
        </w:rPr>
        <w:t>Vaccinia</w:t>
      </w:r>
      <w:proofErr w:type="spellEnd"/>
      <w:r w:rsidRPr="0052052D">
        <w:rPr>
          <w:rFonts w:eastAsia="Calibri" w:cs="Times New Roman"/>
          <w:sz w:val="22"/>
          <w:szCs w:val="22"/>
        </w:rPr>
        <w:t xml:space="preserve">, HIV, HBV, HCV) - 1 minuta, </w:t>
      </w:r>
      <w:proofErr w:type="spellStart"/>
      <w:r w:rsidRPr="0052052D">
        <w:rPr>
          <w:rFonts w:eastAsia="Calibri" w:cs="Times New Roman"/>
          <w:sz w:val="22"/>
          <w:szCs w:val="22"/>
        </w:rPr>
        <w:t>prątkobójczo</w:t>
      </w:r>
      <w:proofErr w:type="spellEnd"/>
      <w:r w:rsidRPr="0052052D">
        <w:rPr>
          <w:rFonts w:eastAsia="Calibri" w:cs="Times New Roman"/>
          <w:sz w:val="22"/>
          <w:szCs w:val="22"/>
        </w:rPr>
        <w:t xml:space="preserve"> (M. </w:t>
      </w:r>
      <w:proofErr w:type="spellStart"/>
      <w:r w:rsidRPr="0052052D">
        <w:rPr>
          <w:rFonts w:eastAsia="Calibri" w:cs="Times New Roman"/>
          <w:sz w:val="22"/>
          <w:szCs w:val="22"/>
        </w:rPr>
        <w:t>terrae</w:t>
      </w:r>
      <w:proofErr w:type="spellEnd"/>
      <w:r w:rsidRPr="0052052D">
        <w:rPr>
          <w:rFonts w:eastAsia="Calibri" w:cs="Times New Roman"/>
          <w:sz w:val="22"/>
          <w:szCs w:val="22"/>
        </w:rPr>
        <w:t>) - do 15 minut na podstawie badań z laboratoriów akredytowanych?</w:t>
      </w:r>
    </w:p>
    <w:p w14:paraId="012E3DF2" w14:textId="6459B4BD"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Zamawiający oczekuje wyrobu o właściwościach i spektrum </w:t>
      </w:r>
      <w:proofErr w:type="spellStart"/>
      <w:r w:rsidRPr="0052052D">
        <w:rPr>
          <w:rFonts w:eastAsia="Calibri" w:cs="Times New Roman"/>
          <w:b/>
          <w:sz w:val="22"/>
          <w:szCs w:val="22"/>
        </w:rPr>
        <w:t>bójczym</w:t>
      </w:r>
      <w:proofErr w:type="spellEnd"/>
      <w:r w:rsidRPr="0052052D">
        <w:rPr>
          <w:rFonts w:eastAsia="Calibri" w:cs="Times New Roman"/>
          <w:b/>
          <w:sz w:val="22"/>
          <w:szCs w:val="22"/>
        </w:rPr>
        <w:t xml:space="preserve"> zgodnym z opisem zawartym w SIWZ.</w:t>
      </w:r>
    </w:p>
    <w:p w14:paraId="5270BED0"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2 poz. 3 i 4:</w:t>
      </w:r>
    </w:p>
    <w:p w14:paraId="4A551511" w14:textId="77FF86D0"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 xml:space="preserve">Czy Zamawiający dopuści chusteczki, nasączone mieszaniną min. 3 substancji aktywnych, które są przeznaczone do dezynfekcji powierzchni wrażliwych na działanie alkoholi, bez zawartości alkoholi i aldehydów, o spektrum działania: B, F, V (rota, </w:t>
      </w:r>
      <w:proofErr w:type="spellStart"/>
      <w:r w:rsidRPr="0052052D">
        <w:rPr>
          <w:rFonts w:eastAsia="Calibri" w:cs="Times New Roman"/>
          <w:sz w:val="22"/>
          <w:szCs w:val="22"/>
        </w:rPr>
        <w:t>Papova</w:t>
      </w:r>
      <w:proofErr w:type="spellEnd"/>
      <w:r w:rsidRPr="0052052D">
        <w:rPr>
          <w:rFonts w:eastAsia="Calibri" w:cs="Times New Roman"/>
          <w:sz w:val="22"/>
          <w:szCs w:val="22"/>
        </w:rPr>
        <w:t xml:space="preserve"> SV40, </w:t>
      </w:r>
      <w:proofErr w:type="spellStart"/>
      <w:r w:rsidRPr="0052052D">
        <w:rPr>
          <w:rFonts w:eastAsia="Calibri" w:cs="Times New Roman"/>
          <w:sz w:val="22"/>
          <w:szCs w:val="22"/>
        </w:rPr>
        <w:t>Vaccinia</w:t>
      </w:r>
      <w:proofErr w:type="spellEnd"/>
      <w:r w:rsidRPr="0052052D">
        <w:rPr>
          <w:rFonts w:eastAsia="Calibri" w:cs="Times New Roman"/>
          <w:sz w:val="22"/>
          <w:szCs w:val="22"/>
        </w:rPr>
        <w:t xml:space="preserve">, HIV, HBV, HCV) - 1 minuta, </w:t>
      </w:r>
      <w:proofErr w:type="spellStart"/>
      <w:r w:rsidRPr="0052052D">
        <w:rPr>
          <w:rFonts w:eastAsia="Calibri" w:cs="Times New Roman"/>
          <w:sz w:val="22"/>
          <w:szCs w:val="22"/>
        </w:rPr>
        <w:t>prątkobójczo</w:t>
      </w:r>
      <w:proofErr w:type="spellEnd"/>
      <w:r w:rsidRPr="0052052D">
        <w:rPr>
          <w:rFonts w:eastAsia="Calibri" w:cs="Times New Roman"/>
          <w:sz w:val="22"/>
          <w:szCs w:val="22"/>
        </w:rPr>
        <w:t xml:space="preserve"> (M. </w:t>
      </w:r>
      <w:proofErr w:type="spellStart"/>
      <w:r w:rsidRPr="0052052D">
        <w:rPr>
          <w:rFonts w:eastAsia="Calibri" w:cs="Times New Roman"/>
          <w:sz w:val="22"/>
          <w:szCs w:val="22"/>
        </w:rPr>
        <w:t>terrae</w:t>
      </w:r>
      <w:proofErr w:type="spellEnd"/>
      <w:r w:rsidRPr="0052052D">
        <w:rPr>
          <w:rFonts w:eastAsia="Calibri" w:cs="Times New Roman"/>
          <w:sz w:val="22"/>
          <w:szCs w:val="22"/>
        </w:rPr>
        <w:t>) - do 15 minut na podstawie badań z laboratoriów akredytowanych?</w:t>
      </w:r>
    </w:p>
    <w:p w14:paraId="3D160F68" w14:textId="60779AC3"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Zamawiający oczekuje wyrobu o właściwościach i spektrum </w:t>
      </w:r>
      <w:proofErr w:type="spellStart"/>
      <w:r w:rsidRPr="0052052D">
        <w:rPr>
          <w:rFonts w:eastAsia="Calibri" w:cs="Times New Roman"/>
          <w:b/>
          <w:sz w:val="22"/>
          <w:szCs w:val="22"/>
        </w:rPr>
        <w:t>bójczym</w:t>
      </w:r>
      <w:proofErr w:type="spellEnd"/>
      <w:r w:rsidRPr="0052052D">
        <w:rPr>
          <w:rFonts w:eastAsia="Calibri" w:cs="Times New Roman"/>
          <w:b/>
          <w:sz w:val="22"/>
          <w:szCs w:val="22"/>
        </w:rPr>
        <w:t xml:space="preserve"> zgodnym z opisem zawartym w SIWZ.</w:t>
      </w:r>
    </w:p>
    <w:p w14:paraId="46CBD67A" w14:textId="77777777" w:rsidR="0052052D" w:rsidRPr="0052052D" w:rsidRDefault="0052052D" w:rsidP="0052052D">
      <w:pPr>
        <w:pStyle w:val="Akapitzlist"/>
        <w:numPr>
          <w:ilvl w:val="0"/>
          <w:numId w:val="17"/>
        </w:numPr>
        <w:jc w:val="both"/>
        <w:rPr>
          <w:rFonts w:eastAsia="Calibri" w:cs="Times New Roman"/>
          <w:sz w:val="22"/>
          <w:szCs w:val="22"/>
        </w:rPr>
      </w:pPr>
      <w:r w:rsidRPr="0052052D">
        <w:rPr>
          <w:rFonts w:eastAsia="Calibri" w:cs="Times New Roman"/>
          <w:sz w:val="22"/>
          <w:szCs w:val="22"/>
        </w:rPr>
        <w:t>Zadanie nr 2 poz. 3 i 4:</w:t>
      </w:r>
    </w:p>
    <w:p w14:paraId="1E1856C5" w14:textId="35032D8F" w:rsidR="0052052D" w:rsidRPr="0052052D" w:rsidRDefault="0052052D" w:rsidP="0052052D">
      <w:pPr>
        <w:ind w:left="360"/>
        <w:jc w:val="both"/>
        <w:rPr>
          <w:rFonts w:eastAsia="Calibri" w:cs="Times New Roman"/>
          <w:sz w:val="22"/>
          <w:szCs w:val="22"/>
        </w:rPr>
      </w:pPr>
      <w:r w:rsidRPr="0052052D">
        <w:rPr>
          <w:rFonts w:eastAsia="Calibri" w:cs="Times New Roman"/>
          <w:sz w:val="22"/>
          <w:szCs w:val="22"/>
        </w:rPr>
        <w:t>Z uwagi na postać preparatu jako chusteczek prosimy o usunięcie zapisów pkt. 5 i 7 pod opisem pakietu, a także pkt. 5 i 6 w kryterium oceny jakości dla ww. pozycji.</w:t>
      </w:r>
    </w:p>
    <w:p w14:paraId="26C59564" w14:textId="3A0AAF03" w:rsidR="0052052D" w:rsidRPr="0052052D" w:rsidRDefault="0052052D" w:rsidP="0052052D">
      <w:pPr>
        <w:jc w:val="both"/>
        <w:rPr>
          <w:rFonts w:eastAsia="Calibri" w:cs="Times New Roman"/>
          <w:b/>
          <w:sz w:val="22"/>
          <w:szCs w:val="22"/>
        </w:rPr>
      </w:pPr>
      <w:r w:rsidRPr="0052052D">
        <w:rPr>
          <w:rFonts w:eastAsia="Calibri" w:cs="Times New Roman"/>
          <w:b/>
          <w:sz w:val="22"/>
          <w:szCs w:val="22"/>
        </w:rPr>
        <w:t xml:space="preserve">Odp.: Zamawiający w zadaniu nr 2 – pozycja 3 i 4 usuwa zapisy wymagań z pkt. 5 i 7,  a także pkt. 5 </w:t>
      </w:r>
      <w:r>
        <w:rPr>
          <w:rFonts w:eastAsia="Calibri" w:cs="Times New Roman"/>
          <w:b/>
          <w:sz w:val="22"/>
          <w:szCs w:val="22"/>
        </w:rPr>
        <w:br/>
      </w:r>
      <w:bookmarkStart w:id="0" w:name="_GoBack"/>
      <w:bookmarkEnd w:id="0"/>
      <w:r w:rsidRPr="0052052D">
        <w:rPr>
          <w:rFonts w:eastAsia="Calibri" w:cs="Times New Roman"/>
          <w:b/>
          <w:sz w:val="22"/>
          <w:szCs w:val="22"/>
        </w:rPr>
        <w:t>i 6 w kryterium oceny jakości dla ww. pozycji</w:t>
      </w:r>
    </w:p>
    <w:p w14:paraId="0500DE4B" w14:textId="77777777" w:rsidR="0052052D" w:rsidRPr="0052052D" w:rsidRDefault="0052052D" w:rsidP="0052052D">
      <w:pPr>
        <w:jc w:val="both"/>
        <w:rPr>
          <w:rFonts w:eastAsia="Calibri" w:cs="Times New Roman"/>
          <w:sz w:val="22"/>
          <w:szCs w:val="22"/>
        </w:rPr>
      </w:pPr>
    </w:p>
    <w:p w14:paraId="156D711C" w14:textId="77777777"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2298F8B8"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p>
    <w:p w14:paraId="618A7180"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r w:rsidRPr="00CE29AA">
        <w:rPr>
          <w:rFonts w:eastAsia="Times New Roman" w:cs="Times New Roman"/>
          <w:color w:val="000000"/>
          <w:sz w:val="22"/>
          <w:szCs w:val="22"/>
          <w:lang w:eastAsia="pl-PL"/>
        </w:rPr>
        <w:t>o wiadomości:</w:t>
      </w:r>
    </w:p>
    <w:p w14:paraId="1731205B" w14:textId="77777777" w:rsidR="00A20E60" w:rsidRPr="00CE29AA" w:rsidRDefault="00A20E60" w:rsidP="00A20E60">
      <w:pPr>
        <w:widowControl w:val="0"/>
        <w:autoSpaceDE w:val="0"/>
        <w:autoSpaceDN w:val="0"/>
        <w:adjustRightInd w:val="0"/>
        <w:jc w:val="both"/>
        <w:rPr>
          <w:rFonts w:eastAsia="Times New Roman" w:cs="Times New Roman"/>
          <w:color w:val="000000"/>
          <w:sz w:val="22"/>
          <w:szCs w:val="22"/>
          <w:lang w:eastAsia="pl-PL"/>
        </w:rPr>
      </w:pPr>
      <w:r w:rsidRPr="00CE29AA">
        <w:rPr>
          <w:rFonts w:eastAsia="Times New Roman" w:cs="Times New Roman"/>
          <w:color w:val="000000"/>
          <w:sz w:val="22"/>
          <w:szCs w:val="22"/>
          <w:lang w:eastAsia="pl-PL"/>
        </w:rPr>
        <w:t>- wszyscy uczestnicy</w:t>
      </w:r>
    </w:p>
    <w:p w14:paraId="52B30944" w14:textId="77777777" w:rsidR="00A20E60" w:rsidRPr="00CE29AA" w:rsidRDefault="00A20E60" w:rsidP="00A20E60">
      <w:pPr>
        <w:tabs>
          <w:tab w:val="left" w:pos="5190"/>
        </w:tabs>
        <w:rPr>
          <w:rFonts w:eastAsia="Times New Roman" w:cs="Times New Roman"/>
          <w:sz w:val="22"/>
          <w:szCs w:val="22"/>
          <w:lang w:eastAsia="pl-PL"/>
        </w:rPr>
      </w:pPr>
    </w:p>
    <w:p w14:paraId="335C2350" w14:textId="77777777" w:rsidR="002952E6" w:rsidRDefault="002952E6" w:rsidP="002952E6">
      <w:pPr>
        <w:ind w:firstLine="708"/>
        <w:jc w:val="both"/>
        <w:rPr>
          <w:rFonts w:cs="Times New Roman"/>
          <w:b/>
          <w:i/>
          <w:sz w:val="22"/>
          <w:szCs w:val="22"/>
        </w:rPr>
      </w:pPr>
    </w:p>
    <w:p w14:paraId="7927946A" w14:textId="77777777" w:rsidR="00123DE6" w:rsidRDefault="00123DE6" w:rsidP="002952E6">
      <w:pPr>
        <w:ind w:firstLine="708"/>
        <w:jc w:val="both"/>
        <w:rPr>
          <w:rFonts w:cs="Times New Roman"/>
          <w:b/>
          <w:i/>
          <w:sz w:val="22"/>
          <w:szCs w:val="22"/>
        </w:rPr>
      </w:pPr>
    </w:p>
    <w:p w14:paraId="7E75A0DD" w14:textId="77777777" w:rsidR="00123DE6" w:rsidRPr="00CE29AA" w:rsidRDefault="00123DE6" w:rsidP="002952E6">
      <w:pPr>
        <w:ind w:firstLine="708"/>
        <w:jc w:val="both"/>
        <w:rPr>
          <w:rFonts w:cs="Times New Roman"/>
          <w:b/>
          <w:i/>
          <w:sz w:val="22"/>
          <w:szCs w:val="22"/>
        </w:rPr>
      </w:pP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4C33" w14:textId="77777777" w:rsidR="00070DCF" w:rsidRDefault="00070DCF" w:rsidP="00BB1BD7">
      <w:r>
        <w:separator/>
      </w:r>
    </w:p>
  </w:endnote>
  <w:endnote w:type="continuationSeparator" w:id="0">
    <w:p w14:paraId="39EDECE8" w14:textId="77777777" w:rsidR="00070DCF" w:rsidRDefault="00070DC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09EA" w14:textId="77777777" w:rsidR="00070DCF" w:rsidRDefault="00070DCF" w:rsidP="00BB1BD7">
      <w:r>
        <w:separator/>
      </w:r>
    </w:p>
  </w:footnote>
  <w:footnote w:type="continuationSeparator" w:id="0">
    <w:p w14:paraId="75B26272" w14:textId="77777777" w:rsidR="00070DCF" w:rsidRDefault="00070DC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2"/>
  </w:num>
  <w:num w:numId="5">
    <w:abstractNumId w:val="6"/>
  </w:num>
  <w:num w:numId="6">
    <w:abstractNumId w:val="15"/>
  </w:num>
  <w:num w:numId="7">
    <w:abstractNumId w:val="8"/>
  </w:num>
  <w:num w:numId="8">
    <w:abstractNumId w:val="4"/>
  </w:num>
  <w:num w:numId="9">
    <w:abstractNumId w:val="0"/>
  </w:num>
  <w:num w:numId="10">
    <w:abstractNumId w:val="3"/>
  </w:num>
  <w:num w:numId="11">
    <w:abstractNumId w:val="16"/>
  </w:num>
  <w:num w:numId="12">
    <w:abstractNumId w:val="13"/>
  </w:num>
  <w:num w:numId="13">
    <w:abstractNumId w:val="12"/>
  </w:num>
  <w:num w:numId="14">
    <w:abstractNumId w:val="5"/>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0DCF"/>
    <w:rsid w:val="000C336E"/>
    <w:rsid w:val="000E6889"/>
    <w:rsid w:val="00123DE6"/>
    <w:rsid w:val="0028352F"/>
    <w:rsid w:val="002952E6"/>
    <w:rsid w:val="002A5878"/>
    <w:rsid w:val="002E16FD"/>
    <w:rsid w:val="00325707"/>
    <w:rsid w:val="003E39E8"/>
    <w:rsid w:val="00434E3B"/>
    <w:rsid w:val="00496495"/>
    <w:rsid w:val="004E08A7"/>
    <w:rsid w:val="005054EC"/>
    <w:rsid w:val="0052052D"/>
    <w:rsid w:val="00552218"/>
    <w:rsid w:val="0056156F"/>
    <w:rsid w:val="00584EE4"/>
    <w:rsid w:val="005E6112"/>
    <w:rsid w:val="0060760B"/>
    <w:rsid w:val="00646139"/>
    <w:rsid w:val="006E5948"/>
    <w:rsid w:val="006F0ACF"/>
    <w:rsid w:val="0070292A"/>
    <w:rsid w:val="00753611"/>
    <w:rsid w:val="007606FA"/>
    <w:rsid w:val="00775A31"/>
    <w:rsid w:val="008E78DC"/>
    <w:rsid w:val="00914F55"/>
    <w:rsid w:val="009C27EF"/>
    <w:rsid w:val="009E0124"/>
    <w:rsid w:val="00A011A9"/>
    <w:rsid w:val="00A20E60"/>
    <w:rsid w:val="00AA35DE"/>
    <w:rsid w:val="00AA5E75"/>
    <w:rsid w:val="00AB0134"/>
    <w:rsid w:val="00AE5A17"/>
    <w:rsid w:val="00AF299D"/>
    <w:rsid w:val="00B06AF4"/>
    <w:rsid w:val="00B10F26"/>
    <w:rsid w:val="00B37888"/>
    <w:rsid w:val="00B8691C"/>
    <w:rsid w:val="00B965D4"/>
    <w:rsid w:val="00BB1BD7"/>
    <w:rsid w:val="00C779EC"/>
    <w:rsid w:val="00CC0C89"/>
    <w:rsid w:val="00CC24A9"/>
    <w:rsid w:val="00CE29AA"/>
    <w:rsid w:val="00CF1121"/>
    <w:rsid w:val="00CF2EC0"/>
    <w:rsid w:val="00D10B9F"/>
    <w:rsid w:val="00D3362A"/>
    <w:rsid w:val="00D53918"/>
    <w:rsid w:val="00DC74A1"/>
    <w:rsid w:val="00E20375"/>
    <w:rsid w:val="00E20E09"/>
    <w:rsid w:val="00EB31D4"/>
    <w:rsid w:val="00ED1C05"/>
    <w:rsid w:val="00EF4641"/>
    <w:rsid w:val="00F0345D"/>
    <w:rsid w:val="00F17AB9"/>
    <w:rsid w:val="00F44E04"/>
    <w:rsid w:val="00F451F1"/>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DC69-5610-4C24-A745-4B133BD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26</cp:revision>
  <cp:lastPrinted>2018-12-06T07:25:00Z</cp:lastPrinted>
  <dcterms:created xsi:type="dcterms:W3CDTF">2017-07-04T08:34:00Z</dcterms:created>
  <dcterms:modified xsi:type="dcterms:W3CDTF">2018-12-06T07:25:00Z</dcterms:modified>
</cp:coreProperties>
</file>