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64485358" w:rsidR="002A0874" w:rsidRDefault="001627BC" w:rsidP="00115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0F7FD5">
        <w:rPr>
          <w:rFonts w:ascii="Times New Roman" w:hAnsi="Times New Roman" w:cs="Times New Roman"/>
        </w:rPr>
        <w:t xml:space="preserve">                     </w:t>
      </w:r>
      <w:r w:rsidR="005617AE">
        <w:rPr>
          <w:rFonts w:ascii="Times New Roman" w:hAnsi="Times New Roman" w:cs="Times New Roman"/>
        </w:rPr>
        <w:t xml:space="preserve">Kołobrzeg, </w:t>
      </w:r>
      <w:r w:rsidR="00E2723E">
        <w:rPr>
          <w:rFonts w:ascii="Times New Roman" w:hAnsi="Times New Roman" w:cs="Times New Roman"/>
        </w:rPr>
        <w:t>19 lutego</w:t>
      </w:r>
      <w:r w:rsidR="000F7FD5">
        <w:rPr>
          <w:rFonts w:ascii="Times New Roman" w:hAnsi="Times New Roman" w:cs="Times New Roman"/>
        </w:rPr>
        <w:t xml:space="preserve"> 2019</w:t>
      </w:r>
      <w:r w:rsidR="005617AE">
        <w:rPr>
          <w:rFonts w:ascii="Times New Roman" w:hAnsi="Times New Roman" w:cs="Times New Roman"/>
        </w:rPr>
        <w:t xml:space="preserve"> r.</w:t>
      </w:r>
    </w:p>
    <w:p w14:paraId="2BD5CFDE" w14:textId="77777777" w:rsidR="002A0874" w:rsidRPr="002A0874" w:rsidRDefault="002A0874" w:rsidP="00EE7BE3">
      <w:pPr>
        <w:ind w:firstLine="708"/>
        <w:jc w:val="right"/>
        <w:rPr>
          <w:rFonts w:ascii="Times New Roman" w:hAnsi="Times New Roman" w:cs="Times New Roman"/>
        </w:rPr>
      </w:pPr>
    </w:p>
    <w:p w14:paraId="2C780321" w14:textId="77777777" w:rsidR="009B3A17" w:rsidRPr="009B3A17" w:rsidRDefault="009B3A17" w:rsidP="00EE7BE3">
      <w:pPr>
        <w:ind w:firstLine="708"/>
        <w:jc w:val="right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>Uczestnicy postępowania</w:t>
      </w:r>
    </w:p>
    <w:p w14:paraId="131CC41C" w14:textId="77777777" w:rsidR="009B3A17" w:rsidRPr="009B3A17" w:rsidRDefault="009B3A17" w:rsidP="00EE7BE3">
      <w:pPr>
        <w:ind w:firstLine="708"/>
        <w:jc w:val="both"/>
        <w:rPr>
          <w:rFonts w:ascii="Times New Roman" w:hAnsi="Times New Roman" w:cs="Times New Roman"/>
        </w:rPr>
      </w:pPr>
    </w:p>
    <w:p w14:paraId="6E5F9227" w14:textId="07F0B1A1" w:rsidR="009B3A17" w:rsidRPr="00E2723E" w:rsidRDefault="009B3A17" w:rsidP="00EE7BE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 w:rsidRPr="00E2723E">
        <w:rPr>
          <w:rFonts w:ascii="Times New Roman" w:hAnsi="Times New Roman" w:cs="Times New Roman"/>
          <w:b/>
          <w:sz w:val="22"/>
          <w:szCs w:val="22"/>
        </w:rPr>
        <w:t>Wyjaśnienia treści SIWZ</w:t>
      </w:r>
    </w:p>
    <w:p w14:paraId="098BF559" w14:textId="3D121B33" w:rsidR="009B3A17" w:rsidRPr="00E2723E" w:rsidRDefault="009B3A17" w:rsidP="00EE7BE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2723E">
        <w:rPr>
          <w:rFonts w:ascii="Times New Roman" w:hAnsi="Times New Roman" w:cs="Times New Roman"/>
          <w:sz w:val="22"/>
          <w:szCs w:val="22"/>
        </w:rPr>
        <w:t xml:space="preserve">Informacja dla wykonawców biorących udział w postępowaniu prowadzonym w trybie przetargu nieograniczonego na: </w:t>
      </w:r>
      <w:r w:rsidR="00CD1F28" w:rsidRPr="00E2723E">
        <w:rPr>
          <w:rFonts w:ascii="Times New Roman" w:hAnsi="Times New Roman" w:cs="Times New Roman"/>
          <w:b/>
          <w:sz w:val="22"/>
          <w:szCs w:val="22"/>
        </w:rPr>
        <w:t xml:space="preserve">na „Dostawę odczynników i materiałów zużywalnych do oznaczeń serologicznych metodą </w:t>
      </w:r>
      <w:proofErr w:type="spellStart"/>
      <w:r w:rsidR="00CD1F28" w:rsidRPr="00E2723E">
        <w:rPr>
          <w:rFonts w:ascii="Times New Roman" w:hAnsi="Times New Roman" w:cs="Times New Roman"/>
          <w:b/>
          <w:sz w:val="22"/>
          <w:szCs w:val="22"/>
        </w:rPr>
        <w:t>mikrokolumnową</w:t>
      </w:r>
      <w:proofErr w:type="spellEnd"/>
      <w:r w:rsidR="00CD1F28" w:rsidRPr="00E2723E">
        <w:rPr>
          <w:rFonts w:ascii="Times New Roman" w:hAnsi="Times New Roman" w:cs="Times New Roman"/>
          <w:b/>
          <w:sz w:val="22"/>
          <w:szCs w:val="22"/>
        </w:rPr>
        <w:t xml:space="preserve"> manualną  wraz z dzierżawą sprzętu dla Regionalnego Szpitala w Kołobrzegu” -  ogłoszenie nr 513311-N-2019 z dnia 2019-02-12 r.</w:t>
      </w:r>
    </w:p>
    <w:p w14:paraId="3D38C0F8" w14:textId="77777777" w:rsidR="0037039B" w:rsidRPr="00E2723E" w:rsidRDefault="0037039B" w:rsidP="00EE7BE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7668368" w14:textId="2F3C2AB3" w:rsidR="009B3A17" w:rsidRPr="00E2723E" w:rsidRDefault="009B3A17" w:rsidP="00EE7BE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2723E">
        <w:rPr>
          <w:rFonts w:ascii="Times New Roman" w:hAnsi="Times New Roman" w:cs="Times New Roman"/>
          <w:sz w:val="22"/>
          <w:szCs w:val="22"/>
        </w:rPr>
        <w:t>Na podstawie art. 38 ustawy z dnia 29 stycznia 2004 roku Prawo Zamówień Publicznyc</w:t>
      </w:r>
      <w:r w:rsidR="0037039B" w:rsidRPr="00E2723E">
        <w:rPr>
          <w:rFonts w:ascii="Times New Roman" w:hAnsi="Times New Roman" w:cs="Times New Roman"/>
          <w:sz w:val="22"/>
          <w:szCs w:val="22"/>
        </w:rPr>
        <w:t xml:space="preserve">h </w:t>
      </w:r>
      <w:r w:rsidRPr="00E2723E">
        <w:rPr>
          <w:rFonts w:ascii="Times New Roman" w:hAnsi="Times New Roman" w:cs="Times New Roman"/>
          <w:sz w:val="22"/>
          <w:szCs w:val="22"/>
        </w:rPr>
        <w:t>Zamawiający informuje, że od Wykonawców wpłynęły niżej wymienione zapytania, na które Zamawiający udziela odpowiedzi następującej treści:</w:t>
      </w:r>
    </w:p>
    <w:p w14:paraId="48AF6BDF" w14:textId="77777777" w:rsidR="00D52042" w:rsidRPr="00E2723E" w:rsidRDefault="00D52042" w:rsidP="00EE7BE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05844A3" w14:textId="77777777" w:rsidR="00CD1F28" w:rsidRPr="00E2723E" w:rsidRDefault="00CD1F28" w:rsidP="00CD1F28">
      <w:pPr>
        <w:pStyle w:val="pkt"/>
        <w:spacing w:line="200" w:lineRule="atLeast"/>
        <w:ind w:left="284" w:hanging="284"/>
        <w:rPr>
          <w:rFonts w:eastAsia="Calibri"/>
          <w:kern w:val="0"/>
          <w:sz w:val="22"/>
          <w:szCs w:val="22"/>
          <w:lang w:eastAsia="en-US" w:bidi="ar-SA"/>
        </w:rPr>
      </w:pPr>
      <w:r w:rsidRPr="00E2723E">
        <w:rPr>
          <w:rFonts w:eastAsia="Calibri"/>
          <w:kern w:val="0"/>
          <w:sz w:val="22"/>
          <w:szCs w:val="22"/>
          <w:lang w:eastAsia="en-US" w:bidi="ar-SA"/>
        </w:rPr>
        <w:t>1.</w:t>
      </w:r>
      <w:r w:rsidRPr="00E2723E">
        <w:rPr>
          <w:rFonts w:eastAsia="Calibri"/>
          <w:kern w:val="0"/>
          <w:sz w:val="22"/>
          <w:szCs w:val="22"/>
          <w:lang w:eastAsia="en-US" w:bidi="ar-SA"/>
        </w:rPr>
        <w:tab/>
        <w:t>Prosimy o potwierdzenie, że w pkt. 29 zał. 1 Zamawiający dopuści te same klony co w pkt. 4, gdyż w przypadku badania kobiet kwalifikowanych do podania immunoglobuliny anty-D rutynowo sprawdza się antygeny w układzie ABO oraz wykonuje się badanie przesiewowe w kierunku poszukiwania przeciwciał odpornościowych. Stąd, nie ma konieczności stosowania 2 różnych klonów?</w:t>
      </w:r>
    </w:p>
    <w:p w14:paraId="715E6CB7" w14:textId="6609A9FC" w:rsidR="00CD1F28" w:rsidRPr="00E2723E" w:rsidRDefault="00CD1F28" w:rsidP="00CD1F28">
      <w:pPr>
        <w:pStyle w:val="pkt"/>
        <w:spacing w:line="200" w:lineRule="atLeast"/>
        <w:ind w:left="0" w:firstLine="0"/>
        <w:rPr>
          <w:rFonts w:eastAsia="Calibri"/>
          <w:b/>
          <w:kern w:val="0"/>
          <w:sz w:val="22"/>
          <w:szCs w:val="22"/>
          <w:lang w:eastAsia="en-US" w:bidi="ar-SA"/>
        </w:rPr>
      </w:pPr>
      <w:r w:rsidRPr="00E2723E">
        <w:rPr>
          <w:rFonts w:eastAsia="Calibri"/>
          <w:b/>
          <w:kern w:val="0"/>
          <w:sz w:val="22"/>
          <w:szCs w:val="22"/>
          <w:lang w:eastAsia="en-US" w:bidi="ar-SA"/>
        </w:rPr>
        <w:t>Odp. Tak, potwierdzam.</w:t>
      </w:r>
    </w:p>
    <w:p w14:paraId="254DDE22" w14:textId="77777777" w:rsidR="00CD1F28" w:rsidRPr="00E2723E" w:rsidRDefault="00CD1F28" w:rsidP="00CD1F28">
      <w:pPr>
        <w:pStyle w:val="pkt"/>
        <w:spacing w:line="200" w:lineRule="atLeast"/>
        <w:ind w:left="284" w:hanging="284"/>
        <w:rPr>
          <w:rFonts w:eastAsia="Calibri"/>
          <w:kern w:val="0"/>
          <w:sz w:val="22"/>
          <w:szCs w:val="22"/>
          <w:lang w:eastAsia="en-US" w:bidi="ar-SA"/>
        </w:rPr>
      </w:pPr>
      <w:r w:rsidRPr="00E2723E">
        <w:rPr>
          <w:rFonts w:eastAsia="Calibri"/>
          <w:kern w:val="0"/>
          <w:sz w:val="22"/>
          <w:szCs w:val="22"/>
          <w:lang w:eastAsia="en-US" w:bidi="ar-SA"/>
        </w:rPr>
        <w:t>2.</w:t>
      </w:r>
      <w:r w:rsidRPr="00E2723E">
        <w:rPr>
          <w:rFonts w:eastAsia="Calibri"/>
          <w:kern w:val="0"/>
          <w:sz w:val="22"/>
          <w:szCs w:val="22"/>
          <w:lang w:eastAsia="en-US" w:bidi="ar-SA"/>
        </w:rPr>
        <w:tab/>
        <w:t>Prosimy o potwierdzenie, że w §4 pkt. 7 wzoru umowy (załącznik nr 5 do SIWZ) doszło do omyłki pisarskiej, a wymagane i obowiązujące terminy ważności odczynników (mikrokart) i odczynników krwinkowych zostały określone w pkt. 14 szczegółowego opisu przedmiotu zamówienia – parametry wymagane (załącznik nr 1 do SIWZ)?</w:t>
      </w:r>
    </w:p>
    <w:p w14:paraId="1BCB0875" w14:textId="63339346" w:rsidR="00CD1F28" w:rsidRPr="00E2723E" w:rsidRDefault="00CD1F28" w:rsidP="00CD1F28">
      <w:pPr>
        <w:pStyle w:val="pkt"/>
        <w:spacing w:line="200" w:lineRule="atLeast"/>
        <w:ind w:left="284" w:hanging="284"/>
        <w:rPr>
          <w:rFonts w:eastAsia="Calibri"/>
          <w:kern w:val="0"/>
          <w:sz w:val="22"/>
          <w:szCs w:val="22"/>
          <w:lang w:eastAsia="en-US" w:bidi="ar-SA"/>
        </w:rPr>
      </w:pPr>
      <w:r w:rsidRPr="00E2723E">
        <w:rPr>
          <w:rFonts w:eastAsia="Calibri"/>
          <w:b/>
          <w:kern w:val="0"/>
          <w:sz w:val="22"/>
          <w:szCs w:val="22"/>
          <w:lang w:eastAsia="en-US" w:bidi="ar-SA"/>
        </w:rPr>
        <w:t>Odp.</w:t>
      </w:r>
      <w:r w:rsidRPr="00E2723E">
        <w:rPr>
          <w:sz w:val="22"/>
          <w:szCs w:val="22"/>
        </w:rPr>
        <w:t xml:space="preserve"> </w:t>
      </w:r>
      <w:r w:rsidRPr="00E2723E">
        <w:rPr>
          <w:rFonts w:eastAsia="Calibri"/>
          <w:b/>
          <w:kern w:val="0"/>
          <w:sz w:val="22"/>
          <w:szCs w:val="22"/>
          <w:lang w:eastAsia="en-US" w:bidi="ar-SA"/>
        </w:rPr>
        <w:t>Tak, terminy ważności zostały określone w pkt. 14 szczegółowego opisu przedmiotu zamówienia (załącznik nr 1 do SIWZ).</w:t>
      </w:r>
    </w:p>
    <w:p w14:paraId="7D40EDF0" w14:textId="374F8BAE" w:rsidR="001C6112" w:rsidRPr="00E2723E" w:rsidRDefault="00CD1F28" w:rsidP="00CD1F28">
      <w:pPr>
        <w:pStyle w:val="pkt"/>
        <w:spacing w:before="0" w:after="0" w:line="200" w:lineRule="atLeast"/>
        <w:ind w:left="284" w:hanging="284"/>
        <w:rPr>
          <w:rStyle w:val="Pogrubienie"/>
          <w:color w:val="000000"/>
          <w:spacing w:val="-4"/>
          <w:sz w:val="22"/>
          <w:szCs w:val="22"/>
        </w:rPr>
      </w:pPr>
      <w:r w:rsidRPr="00E2723E">
        <w:rPr>
          <w:rFonts w:eastAsia="Calibri"/>
          <w:kern w:val="0"/>
          <w:sz w:val="22"/>
          <w:szCs w:val="22"/>
          <w:lang w:eastAsia="en-US" w:bidi="ar-SA"/>
        </w:rPr>
        <w:t>3.</w:t>
      </w:r>
      <w:r w:rsidRPr="00E2723E">
        <w:rPr>
          <w:rFonts w:eastAsia="Calibri"/>
          <w:kern w:val="0"/>
          <w:sz w:val="22"/>
          <w:szCs w:val="22"/>
          <w:lang w:eastAsia="en-US" w:bidi="ar-SA"/>
        </w:rPr>
        <w:tab/>
        <w:t>Prosimy o potwierdzenie, że wymieniony w zał. 2 pkt. 1 sprzęt winien być zgodny z opisem umieszczonym w zał. 1 pkt. 15, 16, 17, 18, 19, 20?</w:t>
      </w:r>
    </w:p>
    <w:p w14:paraId="214D4EFB" w14:textId="4E08AEF3" w:rsidR="00904212" w:rsidRPr="00E2723E" w:rsidRDefault="00CD1F28" w:rsidP="00EE7BE3">
      <w:pPr>
        <w:jc w:val="both"/>
        <w:rPr>
          <w:rFonts w:eastAsia="Calibri"/>
          <w:b/>
          <w:sz w:val="22"/>
          <w:szCs w:val="22"/>
        </w:rPr>
      </w:pPr>
      <w:r w:rsidRPr="00E2723E">
        <w:rPr>
          <w:rFonts w:eastAsia="Calibri"/>
          <w:b/>
          <w:sz w:val="22"/>
          <w:szCs w:val="22"/>
        </w:rPr>
        <w:t>Odp.</w:t>
      </w:r>
      <w:r w:rsidRPr="00E2723E">
        <w:rPr>
          <w:rFonts w:eastAsia="Calibri"/>
          <w:b/>
          <w:sz w:val="22"/>
          <w:szCs w:val="22"/>
        </w:rPr>
        <w:t xml:space="preserve"> </w:t>
      </w:r>
      <w:r w:rsidRPr="00E2723E">
        <w:rPr>
          <w:rFonts w:eastAsia="Calibri"/>
          <w:b/>
          <w:sz w:val="22"/>
          <w:szCs w:val="22"/>
        </w:rPr>
        <w:t>Tak, potwierdzam.</w:t>
      </w:r>
    </w:p>
    <w:p w14:paraId="1FFEF706" w14:textId="77777777" w:rsidR="00CD1F28" w:rsidRPr="00E2723E" w:rsidRDefault="00CD1F28" w:rsidP="00CD1F28">
      <w:pPr>
        <w:jc w:val="both"/>
        <w:rPr>
          <w:rFonts w:eastAsia="Calibri"/>
          <w:sz w:val="22"/>
          <w:szCs w:val="22"/>
        </w:rPr>
      </w:pPr>
      <w:r w:rsidRPr="00E2723E">
        <w:rPr>
          <w:rFonts w:eastAsia="Calibri"/>
          <w:sz w:val="22"/>
          <w:szCs w:val="22"/>
        </w:rPr>
        <w:t>Zapytanie dotyczy pozycji Nr 5.1</w:t>
      </w:r>
    </w:p>
    <w:p w14:paraId="24B65A8E" w14:textId="40490C99" w:rsidR="00CD1F28" w:rsidRPr="00E2723E" w:rsidRDefault="00CD1F28" w:rsidP="00CD1F28">
      <w:pPr>
        <w:jc w:val="both"/>
        <w:rPr>
          <w:rFonts w:eastAsia="Calibri"/>
          <w:sz w:val="22"/>
          <w:szCs w:val="22"/>
        </w:rPr>
      </w:pPr>
      <w:r w:rsidRPr="00E2723E">
        <w:rPr>
          <w:rFonts w:eastAsia="Calibri"/>
          <w:sz w:val="22"/>
          <w:szCs w:val="22"/>
        </w:rPr>
        <w:t xml:space="preserve">Bezpośredni test </w:t>
      </w:r>
      <w:proofErr w:type="spellStart"/>
      <w:r w:rsidRPr="00E2723E">
        <w:rPr>
          <w:rFonts w:eastAsia="Calibri"/>
          <w:sz w:val="22"/>
          <w:szCs w:val="22"/>
        </w:rPr>
        <w:t>antyglobulinowy</w:t>
      </w:r>
      <w:proofErr w:type="spellEnd"/>
      <w:r w:rsidRPr="00E2723E">
        <w:rPr>
          <w:rFonts w:eastAsia="Calibri"/>
          <w:sz w:val="22"/>
          <w:szCs w:val="22"/>
        </w:rPr>
        <w:t xml:space="preserve"> (różnicowanie przeciwciał) w zakresi</w:t>
      </w:r>
      <w:r w:rsidRPr="00E2723E">
        <w:rPr>
          <w:rFonts w:eastAsia="Calibri"/>
          <w:sz w:val="22"/>
          <w:szCs w:val="22"/>
        </w:rPr>
        <w:t xml:space="preserve">e: IgA-IgG-IgM-C3c-C3d-ctl, na jednej karcie. </w:t>
      </w:r>
      <w:r w:rsidRPr="00E2723E">
        <w:rPr>
          <w:rFonts w:eastAsia="Calibri"/>
          <w:sz w:val="22"/>
          <w:szCs w:val="22"/>
        </w:rPr>
        <w:t>Czy Zamawiający dopuści kartę innego producenta pod warunki</w:t>
      </w:r>
      <w:r w:rsidRPr="00E2723E">
        <w:rPr>
          <w:rFonts w:eastAsia="Calibri"/>
          <w:sz w:val="22"/>
          <w:szCs w:val="22"/>
        </w:rPr>
        <w:t>em kompatybilności z oferowanym systemem (dedykowane do systemu)? Wskazujemy</w:t>
      </w:r>
      <w:r w:rsidRPr="00E2723E">
        <w:rPr>
          <w:rFonts w:eastAsia="Calibri"/>
          <w:sz w:val="22"/>
          <w:szCs w:val="22"/>
        </w:rPr>
        <w:t>,</w:t>
      </w:r>
      <w:r w:rsidRPr="00E2723E">
        <w:rPr>
          <w:rFonts w:eastAsia="Calibri"/>
          <w:sz w:val="22"/>
          <w:szCs w:val="22"/>
        </w:rPr>
        <w:t xml:space="preserve"> </w:t>
      </w:r>
      <w:r w:rsidRPr="00E2723E">
        <w:rPr>
          <w:rFonts w:eastAsia="Calibri"/>
          <w:sz w:val="22"/>
          <w:szCs w:val="22"/>
        </w:rPr>
        <w:t>że karta jest ch</w:t>
      </w:r>
      <w:r w:rsidRPr="00E2723E">
        <w:rPr>
          <w:rFonts w:eastAsia="Calibri"/>
          <w:sz w:val="22"/>
          <w:szCs w:val="22"/>
        </w:rPr>
        <w:t xml:space="preserve">arakterystyczna dla jednego </w:t>
      </w:r>
      <w:r w:rsidRPr="00E2723E">
        <w:rPr>
          <w:rFonts w:eastAsia="Calibri"/>
          <w:sz w:val="22"/>
          <w:szCs w:val="22"/>
        </w:rPr>
        <w:t>producenta zatem przyzwolenie na zaoferowanie karty innego prod</w:t>
      </w:r>
      <w:r w:rsidRPr="00E2723E">
        <w:rPr>
          <w:rFonts w:eastAsia="Calibri"/>
          <w:sz w:val="22"/>
          <w:szCs w:val="22"/>
        </w:rPr>
        <w:t xml:space="preserve">ucenta pozwoli na uzupełnienie </w:t>
      </w:r>
      <w:r w:rsidRPr="00E2723E">
        <w:rPr>
          <w:rFonts w:eastAsia="Calibri"/>
          <w:sz w:val="22"/>
          <w:szCs w:val="22"/>
        </w:rPr>
        <w:t xml:space="preserve">oferty. Przy czym karta ta jest zalecana tylko do stosowania w </w:t>
      </w:r>
      <w:proofErr w:type="spellStart"/>
      <w:r w:rsidRPr="00E2723E">
        <w:rPr>
          <w:rFonts w:eastAsia="Calibri"/>
          <w:sz w:val="22"/>
          <w:szCs w:val="22"/>
        </w:rPr>
        <w:t>RCKiK</w:t>
      </w:r>
      <w:proofErr w:type="spellEnd"/>
      <w:r w:rsidRPr="00E2723E">
        <w:rPr>
          <w:rFonts w:eastAsia="Calibri"/>
          <w:sz w:val="22"/>
          <w:szCs w:val="22"/>
        </w:rPr>
        <w:t xml:space="preserve"> dl</w:t>
      </w:r>
      <w:r w:rsidRPr="00E2723E">
        <w:rPr>
          <w:rFonts w:eastAsia="Calibri"/>
          <w:sz w:val="22"/>
          <w:szCs w:val="22"/>
        </w:rPr>
        <w:t xml:space="preserve">atego prosimy o odstąpienie od </w:t>
      </w:r>
      <w:r w:rsidRPr="00E2723E">
        <w:rPr>
          <w:rFonts w:eastAsia="Calibri"/>
          <w:sz w:val="22"/>
          <w:szCs w:val="22"/>
        </w:rPr>
        <w:t>zakupu w/w karty lub dopuszczenie innego producenta niż oferowany system.</w:t>
      </w:r>
    </w:p>
    <w:p w14:paraId="4D75290A" w14:textId="39E475C1" w:rsidR="00CD1F28" w:rsidRPr="00E2723E" w:rsidRDefault="00CD1F28" w:rsidP="00CD1F28">
      <w:pPr>
        <w:jc w:val="both"/>
        <w:rPr>
          <w:rFonts w:eastAsia="Calibri"/>
          <w:b/>
          <w:sz w:val="22"/>
          <w:szCs w:val="22"/>
        </w:rPr>
      </w:pPr>
      <w:r w:rsidRPr="00E2723E">
        <w:rPr>
          <w:rFonts w:eastAsia="Calibri"/>
          <w:b/>
          <w:sz w:val="22"/>
          <w:szCs w:val="22"/>
        </w:rPr>
        <w:t xml:space="preserve">Odp. </w:t>
      </w:r>
      <w:r w:rsidRPr="00E2723E">
        <w:rPr>
          <w:rFonts w:eastAsia="Calibri"/>
          <w:b/>
          <w:sz w:val="22"/>
          <w:szCs w:val="22"/>
        </w:rPr>
        <w:t>TAK, pod warunkiem że informacja o kompatybilności pochodzi od producenta kart i udokumentowana jest procesem walidacji metody.</w:t>
      </w:r>
    </w:p>
    <w:p w14:paraId="02BCC245" w14:textId="77777777" w:rsidR="00CD1F28" w:rsidRPr="00E2723E" w:rsidRDefault="00CD1F28" w:rsidP="00CD1F28">
      <w:pPr>
        <w:jc w:val="both"/>
        <w:rPr>
          <w:rFonts w:eastAsia="Calibri"/>
          <w:sz w:val="22"/>
          <w:szCs w:val="22"/>
        </w:rPr>
      </w:pPr>
      <w:r w:rsidRPr="00E2723E">
        <w:rPr>
          <w:rFonts w:eastAsia="Calibri"/>
          <w:sz w:val="22"/>
          <w:szCs w:val="22"/>
        </w:rPr>
        <w:t>Zapytanie dotyczy pozycji Nr 5.1</w:t>
      </w:r>
    </w:p>
    <w:p w14:paraId="1E844D80" w14:textId="3B36BBEA" w:rsidR="00CD1F28" w:rsidRPr="00E2723E" w:rsidRDefault="00CD1F28" w:rsidP="00CD1F28">
      <w:pPr>
        <w:jc w:val="both"/>
        <w:rPr>
          <w:rFonts w:eastAsia="Calibri"/>
          <w:sz w:val="22"/>
          <w:szCs w:val="22"/>
        </w:rPr>
      </w:pPr>
      <w:r w:rsidRPr="00E2723E">
        <w:rPr>
          <w:rFonts w:eastAsia="Calibri"/>
          <w:sz w:val="22"/>
          <w:szCs w:val="22"/>
        </w:rPr>
        <w:t>Czy Zamawiający wymaga aby karta IgA-IgG-IgM-C3c-C3d-ctl aby ka</w:t>
      </w:r>
      <w:r w:rsidRPr="00E2723E">
        <w:rPr>
          <w:rFonts w:eastAsia="Calibri"/>
          <w:sz w:val="22"/>
          <w:szCs w:val="22"/>
        </w:rPr>
        <w:t xml:space="preserve">rta posiadała numer  jednostki </w:t>
      </w:r>
      <w:r w:rsidRPr="00E2723E">
        <w:rPr>
          <w:rFonts w:eastAsia="Calibri"/>
          <w:sz w:val="22"/>
          <w:szCs w:val="22"/>
        </w:rPr>
        <w:t>notyfikowanej tak jak zestaw kontrolny z pozycji Nr 6.3 oraz była zgłoszona do obrotu w UE?</w:t>
      </w:r>
    </w:p>
    <w:p w14:paraId="103F4E33" w14:textId="415D4DCC" w:rsidR="00CD1F28" w:rsidRPr="00E2723E" w:rsidRDefault="00CD1F28" w:rsidP="00CD1F28">
      <w:pPr>
        <w:rPr>
          <w:b/>
          <w:sz w:val="22"/>
          <w:szCs w:val="22"/>
        </w:rPr>
      </w:pPr>
      <w:r w:rsidRPr="00E2723E">
        <w:rPr>
          <w:b/>
          <w:sz w:val="22"/>
          <w:szCs w:val="22"/>
        </w:rPr>
        <w:t xml:space="preserve">Odp. </w:t>
      </w:r>
      <w:r w:rsidRPr="00E2723E">
        <w:rPr>
          <w:b/>
          <w:sz w:val="22"/>
          <w:szCs w:val="22"/>
        </w:rPr>
        <w:t>NIE</w:t>
      </w:r>
    </w:p>
    <w:p w14:paraId="6D7CDFC5" w14:textId="3046D36C" w:rsidR="00CD1F28" w:rsidRPr="00E2723E" w:rsidRDefault="00CD1F28" w:rsidP="00CD1F28">
      <w:pPr>
        <w:jc w:val="both"/>
        <w:rPr>
          <w:rFonts w:eastAsia="Calibri"/>
          <w:sz w:val="22"/>
          <w:szCs w:val="22"/>
        </w:rPr>
      </w:pPr>
      <w:r w:rsidRPr="00E2723E">
        <w:rPr>
          <w:rFonts w:eastAsia="Calibri"/>
          <w:sz w:val="22"/>
          <w:szCs w:val="22"/>
        </w:rPr>
        <w:t>Zapytanie dotyczy pozycji Nr 6.3  Zestaw kontrolny do oceny techn</w:t>
      </w:r>
      <w:r w:rsidRPr="00E2723E">
        <w:rPr>
          <w:rFonts w:eastAsia="Calibri"/>
          <w:sz w:val="22"/>
          <w:szCs w:val="22"/>
        </w:rPr>
        <w:t xml:space="preserve">ik manualnych stosowanych przy </w:t>
      </w:r>
      <w:proofErr w:type="spellStart"/>
      <w:r w:rsidRPr="00E2723E">
        <w:rPr>
          <w:rFonts w:eastAsia="Calibri"/>
          <w:sz w:val="22"/>
          <w:szCs w:val="22"/>
        </w:rPr>
        <w:t>oznag</w:t>
      </w:r>
      <w:proofErr w:type="spellEnd"/>
      <w:r w:rsidRPr="00E2723E">
        <w:rPr>
          <w:rFonts w:eastAsia="Calibri"/>
          <w:sz w:val="22"/>
          <w:szCs w:val="22"/>
        </w:rPr>
        <w:t xml:space="preserve"> grup krwi i p/c zawierający zarówno przeciwciała anty-D (0,05</w:t>
      </w:r>
      <w:r w:rsidRPr="00E2723E">
        <w:rPr>
          <w:rFonts w:eastAsia="Calibri"/>
          <w:sz w:val="22"/>
          <w:szCs w:val="22"/>
        </w:rPr>
        <w:t xml:space="preserve"> IU/ml) jak i anty-</w:t>
      </w:r>
      <w:proofErr w:type="spellStart"/>
      <w:r w:rsidRPr="00E2723E">
        <w:rPr>
          <w:rFonts w:eastAsia="Calibri"/>
          <w:sz w:val="22"/>
          <w:szCs w:val="22"/>
        </w:rPr>
        <w:t>Fya</w:t>
      </w:r>
      <w:proofErr w:type="spellEnd"/>
      <w:r w:rsidRPr="00E2723E">
        <w:rPr>
          <w:rFonts w:eastAsia="Calibri"/>
          <w:sz w:val="22"/>
          <w:szCs w:val="22"/>
        </w:rPr>
        <w:t xml:space="preserve"> oraz nr </w:t>
      </w:r>
      <w:r w:rsidRPr="00E2723E">
        <w:rPr>
          <w:rFonts w:eastAsia="Calibri"/>
          <w:sz w:val="22"/>
          <w:szCs w:val="22"/>
        </w:rPr>
        <w:t>jednostki notyfikowanej</w:t>
      </w:r>
    </w:p>
    <w:p w14:paraId="34A0406C" w14:textId="4B72DAC3" w:rsidR="00CD1F28" w:rsidRPr="00E2723E" w:rsidRDefault="00CD1F28" w:rsidP="00CD1F28">
      <w:pPr>
        <w:jc w:val="both"/>
        <w:rPr>
          <w:rFonts w:eastAsia="Calibri"/>
          <w:sz w:val="22"/>
          <w:szCs w:val="22"/>
        </w:rPr>
      </w:pPr>
      <w:r w:rsidRPr="00E2723E">
        <w:rPr>
          <w:rFonts w:eastAsia="Calibri"/>
          <w:sz w:val="22"/>
          <w:szCs w:val="22"/>
        </w:rPr>
        <w:lastRenderedPageBreak/>
        <w:t>Wnosimy  o  wykreślenie  zapisu  wymagania  jednostki  notyfikowa</w:t>
      </w:r>
      <w:r w:rsidRPr="00E2723E">
        <w:rPr>
          <w:rFonts w:eastAsia="Calibri"/>
          <w:sz w:val="22"/>
          <w:szCs w:val="22"/>
        </w:rPr>
        <w:t xml:space="preserve">nej  dla  zestawu  do  kontroli </w:t>
      </w:r>
      <w:r w:rsidRPr="00E2723E">
        <w:rPr>
          <w:rFonts w:eastAsia="Calibri"/>
          <w:sz w:val="22"/>
          <w:szCs w:val="22"/>
        </w:rPr>
        <w:t>odczynników  ponieważ  jest to niezgodne z  art.  9 Dyrektywy 98/79/W</w:t>
      </w:r>
      <w:r w:rsidRPr="00E2723E">
        <w:rPr>
          <w:rFonts w:eastAsia="Calibri"/>
          <w:sz w:val="22"/>
          <w:szCs w:val="22"/>
        </w:rPr>
        <w:t xml:space="preserve">E. Odczynniki nie stosowane do </w:t>
      </w:r>
      <w:r w:rsidRPr="00E2723E">
        <w:rPr>
          <w:rFonts w:eastAsia="Calibri"/>
          <w:sz w:val="22"/>
          <w:szCs w:val="22"/>
        </w:rPr>
        <w:t>diagnozowania  lub  bez  znaczenia  klinicznego  nie  musza  być  certyfikowane  przez  jednostkę</w:t>
      </w:r>
    </w:p>
    <w:p w14:paraId="064B28EB" w14:textId="2CA188C9" w:rsidR="00CD1F28" w:rsidRPr="00E2723E" w:rsidRDefault="00CD1F28" w:rsidP="00CD1F28">
      <w:pPr>
        <w:jc w:val="both"/>
        <w:rPr>
          <w:rFonts w:eastAsia="Calibri"/>
          <w:sz w:val="22"/>
          <w:szCs w:val="22"/>
        </w:rPr>
      </w:pPr>
      <w:r w:rsidRPr="00E2723E">
        <w:rPr>
          <w:rFonts w:eastAsia="Calibri"/>
          <w:sz w:val="22"/>
          <w:szCs w:val="22"/>
        </w:rPr>
        <w:t xml:space="preserve">notyfikowaną  co  wprost  wynika  z  Dyrektywy  98/79/WE.  Zestaw  </w:t>
      </w:r>
      <w:r w:rsidRPr="00E2723E">
        <w:rPr>
          <w:rFonts w:eastAsia="Calibri"/>
          <w:sz w:val="22"/>
          <w:szCs w:val="22"/>
        </w:rPr>
        <w:t xml:space="preserve">kontrolny  nie  uczestniczy  w </w:t>
      </w:r>
      <w:r w:rsidRPr="00E2723E">
        <w:rPr>
          <w:rFonts w:eastAsia="Calibri"/>
          <w:sz w:val="22"/>
          <w:szCs w:val="22"/>
        </w:rPr>
        <w:t xml:space="preserve">diagnozowaniu  pacjentów  a  tylko  takie  odczynniki  mogą  być </w:t>
      </w:r>
      <w:r w:rsidRPr="00E2723E">
        <w:rPr>
          <w:rFonts w:eastAsia="Calibri"/>
          <w:sz w:val="22"/>
          <w:szCs w:val="22"/>
        </w:rPr>
        <w:t xml:space="preserve"> przedmiotem  wymaganej  przez </w:t>
      </w:r>
      <w:r w:rsidRPr="00E2723E">
        <w:rPr>
          <w:rFonts w:eastAsia="Calibri"/>
          <w:sz w:val="22"/>
          <w:szCs w:val="22"/>
        </w:rPr>
        <w:t>Zamawiającego  certyfikacji.  Powyższe  potwierdza  Urząd  Rejes</w:t>
      </w:r>
      <w:r w:rsidRPr="00E2723E">
        <w:rPr>
          <w:rFonts w:eastAsia="Calibri"/>
          <w:sz w:val="22"/>
          <w:szCs w:val="22"/>
        </w:rPr>
        <w:t xml:space="preserve">tracji  Wyrobów  Medycznych  w Warszawie </w:t>
      </w:r>
      <w:r w:rsidRPr="00E2723E">
        <w:rPr>
          <w:rFonts w:eastAsia="Calibri"/>
          <w:sz w:val="22"/>
          <w:szCs w:val="22"/>
        </w:rPr>
        <w:t>Wskazać  należy,  iż  w  motywie  drugim  Preambuły  do  ww.  Dyrekty</w:t>
      </w:r>
      <w:r w:rsidRPr="00E2723E">
        <w:rPr>
          <w:rFonts w:eastAsia="Calibri"/>
          <w:sz w:val="22"/>
          <w:szCs w:val="22"/>
        </w:rPr>
        <w:t xml:space="preserve">wy  określono,  iż  udzielanie </w:t>
      </w:r>
      <w:r w:rsidRPr="00E2723E">
        <w:rPr>
          <w:rFonts w:eastAsia="Calibri"/>
          <w:sz w:val="22"/>
          <w:szCs w:val="22"/>
        </w:rPr>
        <w:t>zamówień, na które w Państwach Członkowskich zawarte zostały umowy w imieniu państwa, jednostek</w:t>
      </w:r>
      <w:r w:rsidRPr="00E2723E">
        <w:rPr>
          <w:rFonts w:eastAsia="Calibri"/>
          <w:sz w:val="22"/>
          <w:szCs w:val="22"/>
        </w:rPr>
        <w:t xml:space="preserve"> </w:t>
      </w:r>
      <w:r w:rsidRPr="00E2723E">
        <w:rPr>
          <w:rFonts w:eastAsia="Calibri"/>
          <w:sz w:val="22"/>
          <w:szCs w:val="22"/>
        </w:rPr>
        <w:t xml:space="preserve">samorządu  terytorialnego  lub  innych  podmiotów  prawa  publicznego,  podlega  poszanowaniu  zasad </w:t>
      </w:r>
    </w:p>
    <w:p w14:paraId="77CEFE88" w14:textId="547E71D6" w:rsidR="00CD1F28" w:rsidRPr="00E2723E" w:rsidRDefault="00CD1F28" w:rsidP="00CD1F28">
      <w:pPr>
        <w:jc w:val="both"/>
        <w:rPr>
          <w:rFonts w:eastAsia="Calibri"/>
          <w:sz w:val="22"/>
          <w:szCs w:val="22"/>
        </w:rPr>
      </w:pPr>
      <w:r w:rsidRPr="00E2723E">
        <w:rPr>
          <w:rFonts w:eastAsia="Calibri"/>
          <w:sz w:val="22"/>
          <w:szCs w:val="22"/>
        </w:rPr>
        <w:t xml:space="preserve">Traktatu,  a  w  szczególności  zasady  swobody  przepływu  towarów,  swobody  </w:t>
      </w:r>
      <w:r w:rsidRPr="00E2723E">
        <w:rPr>
          <w:rFonts w:eastAsia="Calibri"/>
          <w:sz w:val="22"/>
          <w:szCs w:val="22"/>
        </w:rPr>
        <w:t xml:space="preserve">przedsiębiorczości  oraz </w:t>
      </w:r>
      <w:r w:rsidRPr="00E2723E">
        <w:rPr>
          <w:rFonts w:eastAsia="Calibri"/>
          <w:sz w:val="22"/>
          <w:szCs w:val="22"/>
        </w:rPr>
        <w:t xml:space="preserve">swobody  świadczenia  usług,  a  także  zasad,  które  się  z  nich  wywodzą, </w:t>
      </w:r>
      <w:r w:rsidRPr="00E2723E">
        <w:rPr>
          <w:rFonts w:eastAsia="Calibri"/>
          <w:sz w:val="22"/>
          <w:szCs w:val="22"/>
        </w:rPr>
        <w:t xml:space="preserve"> takich  jak:  zasada  równego </w:t>
      </w:r>
      <w:r w:rsidRPr="00E2723E">
        <w:rPr>
          <w:rFonts w:eastAsia="Calibri"/>
          <w:sz w:val="22"/>
          <w:szCs w:val="22"/>
        </w:rPr>
        <w:t xml:space="preserve">traktowania, zasada niedyskryminacji, zasada wzajemnej uznawalności, zasada proporcjonalności oraz </w:t>
      </w:r>
    </w:p>
    <w:p w14:paraId="4E078388" w14:textId="5B07A8BB" w:rsidR="00CD1F28" w:rsidRPr="00E2723E" w:rsidRDefault="00CD1F28" w:rsidP="00CD1F28">
      <w:pPr>
        <w:jc w:val="both"/>
        <w:rPr>
          <w:rFonts w:eastAsia="Calibri"/>
          <w:sz w:val="22"/>
          <w:szCs w:val="22"/>
        </w:rPr>
      </w:pPr>
      <w:r w:rsidRPr="00E2723E">
        <w:rPr>
          <w:rFonts w:eastAsia="Calibri"/>
          <w:sz w:val="22"/>
          <w:szCs w:val="22"/>
        </w:rPr>
        <w:t>zasada przejrzystości.</w:t>
      </w:r>
    </w:p>
    <w:p w14:paraId="114DDA31" w14:textId="7820163D" w:rsidR="00CD1F28" w:rsidRPr="00E2723E" w:rsidRDefault="00CD1F28" w:rsidP="00EE7BE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2723E">
        <w:rPr>
          <w:rFonts w:ascii="Times New Roman" w:hAnsi="Times New Roman" w:cs="Times New Roman"/>
          <w:b/>
          <w:sz w:val="22"/>
          <w:szCs w:val="22"/>
        </w:rPr>
        <w:t>Odp. NIE wyrażamy zgody na wykreślenie zapisu wymagania jednostki notyfikowanej dla zestawu kontrolnego. Uważamy że podlega on certyfikacji jako wyrób medyczny używany do diagnostyki in vitro.</w:t>
      </w:r>
    </w:p>
    <w:p w14:paraId="24FFA61D" w14:textId="3131B648" w:rsidR="00CD1F28" w:rsidRPr="00E2723E" w:rsidRDefault="00CD1F28" w:rsidP="00CD1F28">
      <w:pPr>
        <w:jc w:val="both"/>
        <w:rPr>
          <w:rFonts w:ascii="Times New Roman" w:hAnsi="Times New Roman" w:cs="Times New Roman"/>
          <w:sz w:val="22"/>
          <w:szCs w:val="22"/>
        </w:rPr>
      </w:pPr>
      <w:r w:rsidRPr="00E2723E">
        <w:rPr>
          <w:rFonts w:ascii="Times New Roman" w:hAnsi="Times New Roman" w:cs="Times New Roman"/>
          <w:sz w:val="22"/>
          <w:szCs w:val="22"/>
        </w:rPr>
        <w:t>Zap</w:t>
      </w:r>
      <w:r w:rsidRPr="00E2723E">
        <w:rPr>
          <w:rFonts w:ascii="Times New Roman" w:hAnsi="Times New Roman" w:cs="Times New Roman"/>
          <w:sz w:val="22"/>
          <w:szCs w:val="22"/>
        </w:rPr>
        <w:t xml:space="preserve">ytanie dotyczy pozycji Nr 6.3 </w:t>
      </w:r>
      <w:r w:rsidRPr="00E2723E">
        <w:rPr>
          <w:rFonts w:ascii="Times New Roman" w:hAnsi="Times New Roman" w:cs="Times New Roman"/>
          <w:sz w:val="22"/>
          <w:szCs w:val="22"/>
        </w:rPr>
        <w:t>Zestaw kontrolny do oceny techn</w:t>
      </w:r>
      <w:r w:rsidRPr="00E2723E">
        <w:rPr>
          <w:rFonts w:ascii="Times New Roman" w:hAnsi="Times New Roman" w:cs="Times New Roman"/>
          <w:sz w:val="22"/>
          <w:szCs w:val="22"/>
        </w:rPr>
        <w:t xml:space="preserve">ik manualnych stosowanych przy </w:t>
      </w:r>
      <w:proofErr w:type="spellStart"/>
      <w:r w:rsidRPr="00E2723E">
        <w:rPr>
          <w:rFonts w:ascii="Times New Roman" w:hAnsi="Times New Roman" w:cs="Times New Roman"/>
          <w:sz w:val="22"/>
          <w:szCs w:val="22"/>
        </w:rPr>
        <w:t>oznag</w:t>
      </w:r>
      <w:proofErr w:type="spellEnd"/>
      <w:r w:rsidRPr="00E2723E">
        <w:rPr>
          <w:rFonts w:ascii="Times New Roman" w:hAnsi="Times New Roman" w:cs="Times New Roman"/>
          <w:sz w:val="22"/>
          <w:szCs w:val="22"/>
        </w:rPr>
        <w:t xml:space="preserve"> grup krwi i p/c zawierający zarówno przeciwciała ant</w:t>
      </w:r>
      <w:r w:rsidRPr="00E2723E">
        <w:rPr>
          <w:rFonts w:ascii="Times New Roman" w:hAnsi="Times New Roman" w:cs="Times New Roman"/>
          <w:sz w:val="22"/>
          <w:szCs w:val="22"/>
        </w:rPr>
        <w:t>y-D (0,05 IU/ml) jak i anty-</w:t>
      </w:r>
      <w:proofErr w:type="spellStart"/>
      <w:r w:rsidRPr="00E2723E">
        <w:rPr>
          <w:rFonts w:ascii="Times New Roman" w:hAnsi="Times New Roman" w:cs="Times New Roman"/>
          <w:sz w:val="22"/>
          <w:szCs w:val="22"/>
        </w:rPr>
        <w:t>Fya</w:t>
      </w:r>
      <w:proofErr w:type="spellEnd"/>
      <w:r w:rsidRPr="00E2723E">
        <w:rPr>
          <w:rFonts w:ascii="Times New Roman" w:hAnsi="Times New Roman" w:cs="Times New Roman"/>
          <w:sz w:val="22"/>
          <w:szCs w:val="22"/>
        </w:rPr>
        <w:t xml:space="preserve"> </w:t>
      </w:r>
      <w:r w:rsidRPr="00E2723E">
        <w:rPr>
          <w:rFonts w:ascii="Times New Roman" w:hAnsi="Times New Roman" w:cs="Times New Roman"/>
          <w:sz w:val="22"/>
          <w:szCs w:val="22"/>
        </w:rPr>
        <w:t xml:space="preserve">Czy </w:t>
      </w:r>
      <w:r w:rsidR="00841403" w:rsidRPr="00E2723E">
        <w:rPr>
          <w:rFonts w:ascii="Times New Roman" w:hAnsi="Times New Roman" w:cs="Times New Roman"/>
          <w:sz w:val="22"/>
          <w:szCs w:val="22"/>
        </w:rPr>
        <w:t>Zmawiający</w:t>
      </w:r>
      <w:r w:rsidRPr="00E2723E">
        <w:rPr>
          <w:rFonts w:ascii="Times New Roman" w:hAnsi="Times New Roman" w:cs="Times New Roman"/>
          <w:sz w:val="22"/>
          <w:szCs w:val="22"/>
        </w:rPr>
        <w:t xml:space="preserve"> wyrazi </w:t>
      </w:r>
      <w:r w:rsidRPr="00E2723E">
        <w:rPr>
          <w:rFonts w:ascii="Times New Roman" w:hAnsi="Times New Roman" w:cs="Times New Roman"/>
          <w:sz w:val="22"/>
          <w:szCs w:val="22"/>
        </w:rPr>
        <w:t>zgodę</w:t>
      </w:r>
      <w:r w:rsidRPr="00E2723E">
        <w:rPr>
          <w:rFonts w:ascii="Times New Roman" w:hAnsi="Times New Roman" w:cs="Times New Roman"/>
          <w:sz w:val="22"/>
          <w:szCs w:val="22"/>
        </w:rPr>
        <w:t xml:space="preserve"> na zaoferowanie zestawu kontrolnego</w:t>
      </w:r>
      <w:r w:rsidRPr="00E2723E">
        <w:rPr>
          <w:rFonts w:ascii="Times New Roman" w:hAnsi="Times New Roman" w:cs="Times New Roman"/>
          <w:sz w:val="22"/>
          <w:szCs w:val="22"/>
        </w:rPr>
        <w:t xml:space="preserve"> równoważnego i zgodnego z pkt </w:t>
      </w:r>
      <w:r w:rsidRPr="00E2723E">
        <w:rPr>
          <w:rFonts w:ascii="Times New Roman" w:hAnsi="Times New Roman" w:cs="Times New Roman"/>
          <w:sz w:val="22"/>
          <w:szCs w:val="22"/>
        </w:rPr>
        <w:t xml:space="preserve">8.1.2.3 </w:t>
      </w:r>
      <w:r w:rsidR="00841403" w:rsidRPr="00E2723E">
        <w:rPr>
          <w:rFonts w:ascii="Times New Roman" w:hAnsi="Times New Roman" w:cs="Times New Roman"/>
          <w:sz w:val="22"/>
          <w:szCs w:val="22"/>
        </w:rPr>
        <w:t>Obwieszczenia</w:t>
      </w:r>
      <w:r w:rsidRPr="00E2723E">
        <w:rPr>
          <w:rFonts w:ascii="Times New Roman" w:hAnsi="Times New Roman" w:cs="Times New Roman"/>
          <w:sz w:val="22"/>
          <w:szCs w:val="22"/>
        </w:rPr>
        <w:t xml:space="preserve"> Ministra Zdrowia z dn</w:t>
      </w:r>
      <w:r w:rsidRPr="00E2723E">
        <w:rPr>
          <w:rFonts w:ascii="Times New Roman" w:hAnsi="Times New Roman" w:cs="Times New Roman"/>
          <w:sz w:val="22"/>
          <w:szCs w:val="22"/>
        </w:rPr>
        <w:t xml:space="preserve">ia 11 września 2018 roku cytat: Podpunkt Nr 11. </w:t>
      </w:r>
      <w:r w:rsidRPr="00E2723E">
        <w:rPr>
          <w:rFonts w:ascii="Times New Roman" w:hAnsi="Times New Roman" w:cs="Times New Roman"/>
          <w:sz w:val="22"/>
          <w:szCs w:val="22"/>
        </w:rPr>
        <w:t xml:space="preserve">… Obejmują one sprawdzenie swoistości i aktywności odczynników </w:t>
      </w:r>
      <w:r w:rsidRPr="00E2723E">
        <w:rPr>
          <w:rFonts w:ascii="Times New Roman" w:hAnsi="Times New Roman" w:cs="Times New Roman"/>
          <w:sz w:val="22"/>
          <w:szCs w:val="22"/>
        </w:rPr>
        <w:t xml:space="preserve">wzorcowych oraz zachowanie się </w:t>
      </w:r>
      <w:r w:rsidRPr="00E2723E">
        <w:rPr>
          <w:rFonts w:ascii="Times New Roman" w:hAnsi="Times New Roman" w:cs="Times New Roman"/>
          <w:sz w:val="22"/>
          <w:szCs w:val="22"/>
        </w:rPr>
        <w:t>krwinek w roztworze, w którym zostały zawieszone. W badaniach man</w:t>
      </w:r>
      <w:r w:rsidRPr="00E2723E">
        <w:rPr>
          <w:rFonts w:ascii="Times New Roman" w:hAnsi="Times New Roman" w:cs="Times New Roman"/>
          <w:sz w:val="22"/>
          <w:szCs w:val="22"/>
        </w:rPr>
        <w:t xml:space="preserve">ualnych do codziennej kontroli </w:t>
      </w:r>
      <w:r w:rsidRPr="00E2723E">
        <w:rPr>
          <w:rFonts w:ascii="Times New Roman" w:hAnsi="Times New Roman" w:cs="Times New Roman"/>
          <w:sz w:val="22"/>
          <w:szCs w:val="22"/>
        </w:rPr>
        <w:t>odczynników diagn</w:t>
      </w:r>
      <w:r w:rsidRPr="00E2723E">
        <w:rPr>
          <w:rFonts w:ascii="Times New Roman" w:hAnsi="Times New Roman" w:cs="Times New Roman"/>
          <w:sz w:val="22"/>
          <w:szCs w:val="22"/>
        </w:rPr>
        <w:t xml:space="preserve">ostycznych i krwinek wzorcowych </w:t>
      </w:r>
      <w:r w:rsidRPr="00E2723E">
        <w:rPr>
          <w:rFonts w:ascii="Times New Roman" w:hAnsi="Times New Roman" w:cs="Times New Roman"/>
          <w:sz w:val="22"/>
          <w:szCs w:val="22"/>
        </w:rPr>
        <w:t xml:space="preserve">do układu ABO i </w:t>
      </w:r>
      <w:proofErr w:type="spellStart"/>
      <w:r w:rsidRPr="00E2723E">
        <w:rPr>
          <w:rFonts w:ascii="Times New Roman" w:hAnsi="Times New Roman" w:cs="Times New Roman"/>
          <w:sz w:val="22"/>
          <w:szCs w:val="22"/>
        </w:rPr>
        <w:t>RhD</w:t>
      </w:r>
      <w:proofErr w:type="spellEnd"/>
      <w:r w:rsidRPr="00E2723E">
        <w:rPr>
          <w:rFonts w:ascii="Times New Roman" w:hAnsi="Times New Roman" w:cs="Times New Roman"/>
          <w:sz w:val="22"/>
          <w:szCs w:val="22"/>
        </w:rPr>
        <w:t xml:space="preserve"> należy stosować zestaw krw</w:t>
      </w:r>
      <w:r w:rsidRPr="00E2723E">
        <w:rPr>
          <w:rFonts w:ascii="Times New Roman" w:hAnsi="Times New Roman" w:cs="Times New Roman"/>
          <w:sz w:val="22"/>
          <w:szCs w:val="22"/>
        </w:rPr>
        <w:t xml:space="preserve">i kontrolnej z oznakowaniem CE, </w:t>
      </w:r>
      <w:r w:rsidRPr="00E2723E">
        <w:rPr>
          <w:rFonts w:ascii="Times New Roman" w:hAnsi="Times New Roman" w:cs="Times New Roman"/>
          <w:sz w:val="22"/>
          <w:szCs w:val="22"/>
        </w:rPr>
        <w:t>składający się z dwóch próbek krwi: grupy A i grup</w:t>
      </w:r>
      <w:r w:rsidRPr="00E2723E">
        <w:rPr>
          <w:rFonts w:ascii="Times New Roman" w:hAnsi="Times New Roman" w:cs="Times New Roman"/>
          <w:sz w:val="22"/>
          <w:szCs w:val="22"/>
        </w:rPr>
        <w:t xml:space="preserve">y B, jedna z nich </w:t>
      </w:r>
      <w:proofErr w:type="spellStart"/>
      <w:r w:rsidRPr="00E2723E">
        <w:rPr>
          <w:rFonts w:ascii="Times New Roman" w:hAnsi="Times New Roman" w:cs="Times New Roman"/>
          <w:sz w:val="22"/>
          <w:szCs w:val="22"/>
        </w:rPr>
        <w:t>RhD</w:t>
      </w:r>
      <w:proofErr w:type="spellEnd"/>
      <w:r w:rsidRPr="00E2723E">
        <w:rPr>
          <w:rFonts w:ascii="Times New Roman" w:hAnsi="Times New Roman" w:cs="Times New Roman"/>
          <w:sz w:val="22"/>
          <w:szCs w:val="22"/>
        </w:rPr>
        <w:t xml:space="preserve"> dodatnia, </w:t>
      </w:r>
      <w:r w:rsidRPr="00E2723E">
        <w:rPr>
          <w:rFonts w:ascii="Times New Roman" w:hAnsi="Times New Roman" w:cs="Times New Roman"/>
          <w:sz w:val="22"/>
          <w:szCs w:val="22"/>
        </w:rPr>
        <w:t xml:space="preserve">druga </w:t>
      </w:r>
      <w:proofErr w:type="spellStart"/>
      <w:r w:rsidRPr="00E2723E">
        <w:rPr>
          <w:rFonts w:ascii="Times New Roman" w:hAnsi="Times New Roman" w:cs="Times New Roman"/>
          <w:sz w:val="22"/>
          <w:szCs w:val="22"/>
        </w:rPr>
        <w:t>RhD</w:t>
      </w:r>
      <w:proofErr w:type="spellEnd"/>
      <w:r w:rsidRPr="00E2723E">
        <w:rPr>
          <w:rFonts w:ascii="Times New Roman" w:hAnsi="Times New Roman" w:cs="Times New Roman"/>
          <w:sz w:val="22"/>
          <w:szCs w:val="22"/>
        </w:rPr>
        <w:t xml:space="preserve"> ujemna lub próbki krwi grupy O i gru</w:t>
      </w:r>
      <w:r w:rsidRPr="00E2723E">
        <w:rPr>
          <w:rFonts w:ascii="Times New Roman" w:hAnsi="Times New Roman" w:cs="Times New Roman"/>
          <w:sz w:val="22"/>
          <w:szCs w:val="22"/>
        </w:rPr>
        <w:t xml:space="preserve">py AB, z których jedna jest </w:t>
      </w:r>
      <w:proofErr w:type="spellStart"/>
      <w:r w:rsidRPr="00E2723E">
        <w:rPr>
          <w:rFonts w:ascii="Times New Roman" w:hAnsi="Times New Roman" w:cs="Times New Roman"/>
          <w:sz w:val="22"/>
          <w:szCs w:val="22"/>
        </w:rPr>
        <w:t>RhD</w:t>
      </w:r>
      <w:proofErr w:type="spellEnd"/>
      <w:r w:rsidRPr="00E2723E">
        <w:rPr>
          <w:rFonts w:ascii="Times New Roman" w:hAnsi="Times New Roman" w:cs="Times New Roman"/>
          <w:sz w:val="22"/>
          <w:szCs w:val="22"/>
        </w:rPr>
        <w:t xml:space="preserve"> </w:t>
      </w:r>
      <w:r w:rsidRPr="00E2723E">
        <w:rPr>
          <w:rFonts w:ascii="Times New Roman" w:hAnsi="Times New Roman" w:cs="Times New Roman"/>
          <w:sz w:val="22"/>
          <w:szCs w:val="22"/>
        </w:rPr>
        <w:t xml:space="preserve">dodatnia, druga </w:t>
      </w:r>
      <w:proofErr w:type="spellStart"/>
      <w:r w:rsidRPr="00E2723E">
        <w:rPr>
          <w:rFonts w:ascii="Times New Roman" w:hAnsi="Times New Roman" w:cs="Times New Roman"/>
          <w:sz w:val="22"/>
          <w:szCs w:val="22"/>
        </w:rPr>
        <w:t>RhD</w:t>
      </w:r>
      <w:proofErr w:type="spellEnd"/>
      <w:r w:rsidRPr="00E2723E">
        <w:rPr>
          <w:rFonts w:ascii="Times New Roman" w:hAnsi="Times New Roman" w:cs="Times New Roman"/>
          <w:sz w:val="22"/>
          <w:szCs w:val="22"/>
        </w:rPr>
        <w:t xml:space="preserve"> ujemna, a w osoczu przynaj</w:t>
      </w:r>
      <w:r w:rsidRPr="00E2723E">
        <w:rPr>
          <w:rFonts w:ascii="Times New Roman" w:hAnsi="Times New Roman" w:cs="Times New Roman"/>
          <w:sz w:val="22"/>
          <w:szCs w:val="22"/>
        </w:rPr>
        <w:t xml:space="preserve">mniej jednej z próbek obecne są </w:t>
      </w:r>
      <w:r w:rsidRPr="00E2723E">
        <w:rPr>
          <w:rFonts w:ascii="Times New Roman" w:hAnsi="Times New Roman" w:cs="Times New Roman"/>
          <w:sz w:val="22"/>
          <w:szCs w:val="22"/>
        </w:rPr>
        <w:t xml:space="preserve">słabe przeciwciała wykrywane w pośrednim teście </w:t>
      </w:r>
      <w:proofErr w:type="spellStart"/>
      <w:r w:rsidRPr="00E2723E">
        <w:rPr>
          <w:rFonts w:ascii="Times New Roman" w:hAnsi="Times New Roman" w:cs="Times New Roman"/>
          <w:sz w:val="22"/>
          <w:szCs w:val="22"/>
        </w:rPr>
        <w:t>antyglobulin</w:t>
      </w:r>
      <w:r w:rsidRPr="00E2723E">
        <w:rPr>
          <w:rFonts w:ascii="Times New Roman" w:hAnsi="Times New Roman" w:cs="Times New Roman"/>
          <w:sz w:val="22"/>
          <w:szCs w:val="22"/>
        </w:rPr>
        <w:t>owym</w:t>
      </w:r>
      <w:proofErr w:type="spellEnd"/>
      <w:r w:rsidRPr="00E2723E">
        <w:rPr>
          <w:rFonts w:ascii="Times New Roman" w:hAnsi="Times New Roman" w:cs="Times New Roman"/>
          <w:sz w:val="22"/>
          <w:szCs w:val="22"/>
        </w:rPr>
        <w:t xml:space="preserve"> (PTA), np. </w:t>
      </w:r>
      <w:r w:rsidRPr="00E2723E">
        <w:rPr>
          <w:rFonts w:ascii="Times New Roman" w:hAnsi="Times New Roman" w:cs="Times New Roman"/>
          <w:sz w:val="22"/>
          <w:szCs w:val="22"/>
        </w:rPr>
        <w:t>anty-D, anty-</w:t>
      </w:r>
      <w:proofErr w:type="spellStart"/>
      <w:r w:rsidRPr="00E2723E">
        <w:rPr>
          <w:rFonts w:ascii="Times New Roman" w:hAnsi="Times New Roman" w:cs="Times New Roman"/>
          <w:sz w:val="22"/>
          <w:szCs w:val="22"/>
        </w:rPr>
        <w:t>Fya</w:t>
      </w:r>
      <w:proofErr w:type="spellEnd"/>
      <w:r w:rsidRPr="00E2723E">
        <w:rPr>
          <w:rFonts w:ascii="Times New Roman" w:hAnsi="Times New Roman" w:cs="Times New Roman"/>
          <w:sz w:val="22"/>
          <w:szCs w:val="22"/>
        </w:rPr>
        <w:t>. Użycie takiego zestawu p</w:t>
      </w:r>
      <w:r w:rsidRPr="00E2723E">
        <w:rPr>
          <w:rFonts w:ascii="Times New Roman" w:hAnsi="Times New Roman" w:cs="Times New Roman"/>
          <w:sz w:val="22"/>
          <w:szCs w:val="22"/>
        </w:rPr>
        <w:t xml:space="preserve">ozwala na kontrolę aktywności i </w:t>
      </w:r>
      <w:r w:rsidRPr="00E2723E">
        <w:rPr>
          <w:rFonts w:ascii="Times New Roman" w:hAnsi="Times New Roman" w:cs="Times New Roman"/>
          <w:sz w:val="22"/>
          <w:szCs w:val="22"/>
        </w:rPr>
        <w:t>swoistości zestawu odczynników monoklo</w:t>
      </w:r>
      <w:r w:rsidRPr="00E2723E">
        <w:rPr>
          <w:rFonts w:ascii="Times New Roman" w:hAnsi="Times New Roman" w:cs="Times New Roman"/>
          <w:sz w:val="22"/>
          <w:szCs w:val="22"/>
        </w:rPr>
        <w:t xml:space="preserve">nalnych i krwinek wzorcowych do </w:t>
      </w:r>
      <w:r w:rsidRPr="00E2723E">
        <w:rPr>
          <w:rFonts w:ascii="Times New Roman" w:hAnsi="Times New Roman" w:cs="Times New Roman"/>
          <w:sz w:val="22"/>
          <w:szCs w:val="22"/>
        </w:rPr>
        <w:t xml:space="preserve">badania ABO i </w:t>
      </w:r>
      <w:proofErr w:type="spellStart"/>
      <w:r w:rsidRPr="00E2723E">
        <w:rPr>
          <w:rFonts w:ascii="Times New Roman" w:hAnsi="Times New Roman" w:cs="Times New Roman"/>
          <w:sz w:val="22"/>
          <w:szCs w:val="22"/>
        </w:rPr>
        <w:t>RhD</w:t>
      </w:r>
      <w:proofErr w:type="spellEnd"/>
      <w:r w:rsidRPr="00E2723E">
        <w:rPr>
          <w:rFonts w:ascii="Times New Roman" w:hAnsi="Times New Roman" w:cs="Times New Roman"/>
          <w:sz w:val="22"/>
          <w:szCs w:val="22"/>
        </w:rPr>
        <w:t xml:space="preserve"> i jednocześnie na k</w:t>
      </w:r>
      <w:r w:rsidRPr="00E2723E">
        <w:rPr>
          <w:rFonts w:ascii="Times New Roman" w:hAnsi="Times New Roman" w:cs="Times New Roman"/>
          <w:sz w:val="22"/>
          <w:szCs w:val="22"/>
        </w:rPr>
        <w:t xml:space="preserve">ontrolę krwinek wzorcowych oraz </w:t>
      </w:r>
      <w:r w:rsidRPr="00E2723E">
        <w:rPr>
          <w:rFonts w:ascii="Times New Roman" w:hAnsi="Times New Roman" w:cs="Times New Roman"/>
          <w:sz w:val="22"/>
          <w:szCs w:val="22"/>
        </w:rPr>
        <w:t>stosowanych testów do wykrywania przeciwc</w:t>
      </w:r>
      <w:r w:rsidRPr="00E2723E">
        <w:rPr>
          <w:rFonts w:ascii="Times New Roman" w:hAnsi="Times New Roman" w:cs="Times New Roman"/>
          <w:sz w:val="22"/>
          <w:szCs w:val="22"/>
        </w:rPr>
        <w:t xml:space="preserve">iał. Z każdego przeprowadzonego </w:t>
      </w:r>
      <w:r w:rsidRPr="00E2723E">
        <w:rPr>
          <w:rFonts w:ascii="Times New Roman" w:hAnsi="Times New Roman" w:cs="Times New Roman"/>
          <w:sz w:val="22"/>
          <w:szCs w:val="22"/>
        </w:rPr>
        <w:t>badania kontrolnego sporządza się protokół.</w:t>
      </w:r>
    </w:p>
    <w:p w14:paraId="57F2FAD8" w14:textId="2D235812" w:rsidR="00CD1F28" w:rsidRPr="00E2723E" w:rsidRDefault="00CD1F28" w:rsidP="00CD1F28">
      <w:pPr>
        <w:jc w:val="both"/>
        <w:rPr>
          <w:rFonts w:ascii="Times New Roman" w:hAnsi="Times New Roman" w:cs="Times New Roman"/>
          <w:sz w:val="22"/>
          <w:szCs w:val="22"/>
        </w:rPr>
      </w:pPr>
      <w:r w:rsidRPr="00E2723E">
        <w:rPr>
          <w:rFonts w:ascii="Times New Roman" w:hAnsi="Times New Roman" w:cs="Times New Roman"/>
          <w:sz w:val="22"/>
          <w:szCs w:val="22"/>
        </w:rPr>
        <w:t>Wskazujemy że zestaw kontrolny może składać się z 2 próbek z których j</w:t>
      </w:r>
      <w:r w:rsidRPr="00E2723E">
        <w:rPr>
          <w:rFonts w:ascii="Times New Roman" w:hAnsi="Times New Roman" w:cs="Times New Roman"/>
          <w:sz w:val="22"/>
          <w:szCs w:val="22"/>
        </w:rPr>
        <w:t xml:space="preserve">edna musi posiadać przykładowo </w:t>
      </w:r>
      <w:r w:rsidRPr="00E2723E">
        <w:rPr>
          <w:rFonts w:ascii="Times New Roman" w:hAnsi="Times New Roman" w:cs="Times New Roman"/>
          <w:sz w:val="22"/>
          <w:szCs w:val="22"/>
        </w:rPr>
        <w:t xml:space="preserve">przeciwciała </w:t>
      </w:r>
      <w:proofErr w:type="spellStart"/>
      <w:r w:rsidRPr="00E2723E">
        <w:rPr>
          <w:rFonts w:ascii="Times New Roman" w:hAnsi="Times New Roman" w:cs="Times New Roman"/>
          <w:sz w:val="22"/>
          <w:szCs w:val="22"/>
        </w:rPr>
        <w:t>Fya</w:t>
      </w:r>
      <w:proofErr w:type="spellEnd"/>
      <w:r w:rsidRPr="00E2723E">
        <w:rPr>
          <w:rFonts w:ascii="Times New Roman" w:hAnsi="Times New Roman" w:cs="Times New Roman"/>
          <w:sz w:val="22"/>
          <w:szCs w:val="22"/>
        </w:rPr>
        <w:t xml:space="preserve"> lub anty-D . Opis przedmiotu zamówienia wprost opisuj</w:t>
      </w:r>
      <w:r w:rsidRPr="00E2723E">
        <w:rPr>
          <w:rFonts w:ascii="Times New Roman" w:hAnsi="Times New Roman" w:cs="Times New Roman"/>
          <w:sz w:val="22"/>
          <w:szCs w:val="22"/>
        </w:rPr>
        <w:t xml:space="preserve">e produkt określonej firmy bez </w:t>
      </w:r>
      <w:r w:rsidRPr="00E2723E">
        <w:rPr>
          <w:rFonts w:ascii="Times New Roman" w:hAnsi="Times New Roman" w:cs="Times New Roman"/>
          <w:sz w:val="22"/>
          <w:szCs w:val="22"/>
        </w:rPr>
        <w:t>uzasadnienia w przepisach krajowych. Tym samym wymaga się najdroższeg</w:t>
      </w:r>
      <w:r w:rsidRPr="00E2723E">
        <w:rPr>
          <w:rFonts w:ascii="Times New Roman" w:hAnsi="Times New Roman" w:cs="Times New Roman"/>
          <w:sz w:val="22"/>
          <w:szCs w:val="22"/>
        </w:rPr>
        <w:t xml:space="preserve">o zestawu na rynku i ogranicza </w:t>
      </w:r>
      <w:r w:rsidRPr="00E2723E">
        <w:rPr>
          <w:rFonts w:ascii="Times New Roman" w:hAnsi="Times New Roman" w:cs="Times New Roman"/>
          <w:sz w:val="22"/>
          <w:szCs w:val="22"/>
        </w:rPr>
        <w:t xml:space="preserve">zaoferowanie zestawu zgodnego z przepisami które </w:t>
      </w:r>
      <w:proofErr w:type="spellStart"/>
      <w:r w:rsidRPr="00E2723E">
        <w:rPr>
          <w:rFonts w:ascii="Times New Roman" w:hAnsi="Times New Roman" w:cs="Times New Roman"/>
          <w:sz w:val="22"/>
          <w:szCs w:val="22"/>
        </w:rPr>
        <w:t>zawieraja</w:t>
      </w:r>
      <w:proofErr w:type="spellEnd"/>
      <w:r w:rsidRPr="00E2723E">
        <w:rPr>
          <w:rFonts w:ascii="Times New Roman" w:hAnsi="Times New Roman" w:cs="Times New Roman"/>
          <w:sz w:val="22"/>
          <w:szCs w:val="22"/>
        </w:rPr>
        <w:t xml:space="preserve"> przeciwciała a</w:t>
      </w:r>
      <w:r w:rsidRPr="00E2723E">
        <w:rPr>
          <w:rFonts w:ascii="Times New Roman" w:hAnsi="Times New Roman" w:cs="Times New Roman"/>
          <w:sz w:val="22"/>
          <w:szCs w:val="22"/>
        </w:rPr>
        <w:t xml:space="preserve">nty-D oraz anty-E lub </w:t>
      </w:r>
      <w:proofErr w:type="spellStart"/>
      <w:r w:rsidRPr="00E2723E">
        <w:rPr>
          <w:rFonts w:ascii="Times New Roman" w:hAnsi="Times New Roman" w:cs="Times New Roman"/>
          <w:sz w:val="22"/>
          <w:szCs w:val="22"/>
        </w:rPr>
        <w:t>anty_Fya</w:t>
      </w:r>
      <w:proofErr w:type="spellEnd"/>
      <w:r w:rsidRPr="00E2723E">
        <w:rPr>
          <w:rFonts w:ascii="Times New Roman" w:hAnsi="Times New Roman" w:cs="Times New Roman"/>
          <w:sz w:val="22"/>
          <w:szCs w:val="22"/>
        </w:rPr>
        <w:t xml:space="preserve"> i anty-K. </w:t>
      </w:r>
      <w:r w:rsidRPr="00E2723E">
        <w:rPr>
          <w:rFonts w:ascii="Times New Roman" w:hAnsi="Times New Roman" w:cs="Times New Roman"/>
          <w:sz w:val="22"/>
          <w:szCs w:val="22"/>
        </w:rPr>
        <w:t xml:space="preserve">Przedmiotu zamówienia nie można opisywać przez wskazanie znaków towarowych (…), jeżeli mogłoby to </w:t>
      </w:r>
    </w:p>
    <w:p w14:paraId="2C4F67F5" w14:textId="43C29451" w:rsidR="00CD1F28" w:rsidRPr="00E2723E" w:rsidRDefault="00CD1F28" w:rsidP="00CD1F28">
      <w:pPr>
        <w:jc w:val="both"/>
        <w:rPr>
          <w:rFonts w:ascii="Times New Roman" w:hAnsi="Times New Roman" w:cs="Times New Roman"/>
          <w:sz w:val="22"/>
          <w:szCs w:val="22"/>
        </w:rPr>
      </w:pPr>
      <w:r w:rsidRPr="00E2723E">
        <w:rPr>
          <w:rFonts w:ascii="Times New Roman" w:hAnsi="Times New Roman" w:cs="Times New Roman"/>
          <w:sz w:val="22"/>
          <w:szCs w:val="22"/>
        </w:rPr>
        <w:t>doprowadzić do uprzywilejowania lub wyeliminowania niektórych wyko</w:t>
      </w:r>
      <w:r w:rsidRPr="00E2723E">
        <w:rPr>
          <w:rFonts w:ascii="Times New Roman" w:hAnsi="Times New Roman" w:cs="Times New Roman"/>
          <w:sz w:val="22"/>
          <w:szCs w:val="22"/>
        </w:rPr>
        <w:t xml:space="preserve">nawców lub produktów, chyba że </w:t>
      </w:r>
      <w:r w:rsidRPr="00E2723E">
        <w:rPr>
          <w:rFonts w:ascii="Times New Roman" w:hAnsi="Times New Roman" w:cs="Times New Roman"/>
          <w:sz w:val="22"/>
          <w:szCs w:val="22"/>
        </w:rPr>
        <w:t>jest to uzasadnione specyfiką przedmiotu zamówienia i zamawiaj</w:t>
      </w:r>
      <w:r w:rsidRPr="00E2723E">
        <w:rPr>
          <w:rFonts w:ascii="Times New Roman" w:hAnsi="Times New Roman" w:cs="Times New Roman"/>
          <w:sz w:val="22"/>
          <w:szCs w:val="22"/>
        </w:rPr>
        <w:t xml:space="preserve">ący nie może opisać przedmiotu </w:t>
      </w:r>
      <w:r w:rsidRPr="00E2723E">
        <w:rPr>
          <w:rFonts w:ascii="Times New Roman" w:hAnsi="Times New Roman" w:cs="Times New Roman"/>
          <w:sz w:val="22"/>
          <w:szCs w:val="22"/>
        </w:rPr>
        <w:t xml:space="preserve">zamówienia za pomocą dostatecznie dokładnych określeń, a wskazaniu </w:t>
      </w:r>
      <w:r w:rsidRPr="00E2723E">
        <w:rPr>
          <w:rFonts w:ascii="Times New Roman" w:hAnsi="Times New Roman" w:cs="Times New Roman"/>
          <w:sz w:val="22"/>
          <w:szCs w:val="22"/>
        </w:rPr>
        <w:t xml:space="preserve">takiemu towarzyszą wyrazy „lub </w:t>
      </w:r>
      <w:r w:rsidRPr="00E2723E">
        <w:rPr>
          <w:rFonts w:ascii="Times New Roman" w:hAnsi="Times New Roman" w:cs="Times New Roman"/>
          <w:sz w:val="22"/>
          <w:szCs w:val="22"/>
        </w:rPr>
        <w:t xml:space="preserve">równoważny (art. 29 ust. 3 </w:t>
      </w:r>
      <w:proofErr w:type="spellStart"/>
      <w:r w:rsidRPr="00E2723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E2723E">
        <w:rPr>
          <w:rFonts w:ascii="Times New Roman" w:hAnsi="Times New Roman" w:cs="Times New Roman"/>
          <w:sz w:val="22"/>
          <w:szCs w:val="22"/>
        </w:rPr>
        <w:t>).</w:t>
      </w:r>
    </w:p>
    <w:p w14:paraId="7893EAB1" w14:textId="2A50568B" w:rsidR="00522458" w:rsidRPr="00E2723E" w:rsidRDefault="00E2723E" w:rsidP="00CD1F2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2723E">
        <w:rPr>
          <w:rFonts w:ascii="Times New Roman" w:hAnsi="Times New Roman" w:cs="Times New Roman"/>
          <w:b/>
          <w:sz w:val="22"/>
          <w:szCs w:val="22"/>
        </w:rPr>
        <w:t>Odp. Może być zestaw kontrolny równoważny.</w:t>
      </w:r>
    </w:p>
    <w:p w14:paraId="7D53DFAB" w14:textId="77777777" w:rsidR="00CD1F28" w:rsidRPr="00E2723E" w:rsidRDefault="00CD1F28" w:rsidP="00CD1F28">
      <w:pPr>
        <w:jc w:val="both"/>
        <w:rPr>
          <w:rFonts w:ascii="Times New Roman" w:hAnsi="Times New Roman" w:cs="Times New Roman"/>
          <w:sz w:val="22"/>
          <w:szCs w:val="22"/>
        </w:rPr>
      </w:pPr>
      <w:r w:rsidRPr="00E2723E">
        <w:rPr>
          <w:rFonts w:ascii="Times New Roman" w:hAnsi="Times New Roman" w:cs="Times New Roman"/>
          <w:sz w:val="22"/>
          <w:szCs w:val="22"/>
        </w:rPr>
        <w:t xml:space="preserve">Zapytanie do pozycji Nr 6.1, 6,2, 6.4, 6.5 załącznika Nr 2 </w:t>
      </w:r>
    </w:p>
    <w:p w14:paraId="15B88FC5" w14:textId="77777777" w:rsidR="00CD1F28" w:rsidRPr="00E2723E" w:rsidRDefault="00CD1F28" w:rsidP="00CD1F28">
      <w:pPr>
        <w:jc w:val="both"/>
        <w:rPr>
          <w:rFonts w:ascii="Times New Roman" w:hAnsi="Times New Roman" w:cs="Times New Roman"/>
          <w:sz w:val="22"/>
          <w:szCs w:val="22"/>
        </w:rPr>
      </w:pPr>
      <w:r w:rsidRPr="00E2723E">
        <w:rPr>
          <w:rFonts w:ascii="Times New Roman" w:hAnsi="Times New Roman" w:cs="Times New Roman"/>
          <w:sz w:val="22"/>
          <w:szCs w:val="22"/>
        </w:rPr>
        <w:t xml:space="preserve">Wymaganie Zamawiającego dla w/w pozycji : zgodnie z metodyką </w:t>
      </w:r>
    </w:p>
    <w:p w14:paraId="4089DA52" w14:textId="48DAB5ED" w:rsidR="00CD1F28" w:rsidRPr="00E2723E" w:rsidRDefault="00CD1F28" w:rsidP="00CD1F28">
      <w:pPr>
        <w:jc w:val="both"/>
        <w:rPr>
          <w:rFonts w:ascii="Times New Roman" w:hAnsi="Times New Roman" w:cs="Times New Roman"/>
          <w:sz w:val="22"/>
          <w:szCs w:val="22"/>
        </w:rPr>
      </w:pPr>
      <w:r w:rsidRPr="00E2723E">
        <w:rPr>
          <w:rFonts w:ascii="Times New Roman" w:hAnsi="Times New Roman" w:cs="Times New Roman"/>
          <w:sz w:val="22"/>
          <w:szCs w:val="22"/>
        </w:rPr>
        <w:t>W związku z opisem Zamawiającego „zgodnie z metodyką ”, prosimy o</w:t>
      </w:r>
      <w:r w:rsidR="00522458" w:rsidRPr="00E2723E">
        <w:rPr>
          <w:rFonts w:ascii="Times New Roman" w:hAnsi="Times New Roman" w:cs="Times New Roman"/>
          <w:sz w:val="22"/>
          <w:szCs w:val="22"/>
        </w:rPr>
        <w:t xml:space="preserve"> wskazanie ilości na podstawie </w:t>
      </w:r>
      <w:r w:rsidRPr="00E2723E">
        <w:rPr>
          <w:rFonts w:ascii="Times New Roman" w:hAnsi="Times New Roman" w:cs="Times New Roman"/>
          <w:sz w:val="22"/>
          <w:szCs w:val="22"/>
        </w:rPr>
        <w:t>dotychczas używanej metodyki.</w:t>
      </w:r>
    </w:p>
    <w:p w14:paraId="03895316" w14:textId="77777777" w:rsidR="00CD1F28" w:rsidRPr="00E2723E" w:rsidRDefault="00CD1F28" w:rsidP="00CD1F28">
      <w:pPr>
        <w:jc w:val="both"/>
        <w:rPr>
          <w:rFonts w:ascii="Times New Roman" w:hAnsi="Times New Roman" w:cs="Times New Roman"/>
          <w:sz w:val="22"/>
          <w:szCs w:val="22"/>
        </w:rPr>
      </w:pPr>
      <w:r w:rsidRPr="00E2723E">
        <w:rPr>
          <w:rFonts w:ascii="Times New Roman" w:hAnsi="Times New Roman" w:cs="Times New Roman"/>
          <w:sz w:val="22"/>
          <w:szCs w:val="22"/>
        </w:rPr>
        <w:lastRenderedPageBreak/>
        <w:t xml:space="preserve">Uzasadnienie:. </w:t>
      </w:r>
    </w:p>
    <w:p w14:paraId="753B943C" w14:textId="18B5A8F1" w:rsidR="00CD1F28" w:rsidRPr="00E2723E" w:rsidRDefault="00CD1F28" w:rsidP="00CD1F28">
      <w:pPr>
        <w:jc w:val="both"/>
        <w:rPr>
          <w:rFonts w:ascii="Times New Roman" w:hAnsi="Times New Roman" w:cs="Times New Roman"/>
          <w:sz w:val="22"/>
          <w:szCs w:val="22"/>
        </w:rPr>
      </w:pPr>
      <w:r w:rsidRPr="00E2723E">
        <w:rPr>
          <w:rFonts w:ascii="Times New Roman" w:hAnsi="Times New Roman" w:cs="Times New Roman"/>
          <w:sz w:val="22"/>
          <w:szCs w:val="22"/>
        </w:rPr>
        <w:t>Zgodnie ze stanowiskiem Urzędu Zamówień Publicznych (pismo UZ</w:t>
      </w:r>
      <w:r w:rsidR="00522458" w:rsidRPr="00E2723E">
        <w:rPr>
          <w:rFonts w:ascii="Times New Roman" w:hAnsi="Times New Roman" w:cs="Times New Roman"/>
          <w:sz w:val="22"/>
          <w:szCs w:val="22"/>
        </w:rPr>
        <w:t xml:space="preserve">P/ DKW/ DWKZ/ 425/ 288(5)/ 14/ </w:t>
      </w:r>
      <w:r w:rsidRPr="00E2723E">
        <w:rPr>
          <w:rFonts w:ascii="Times New Roman" w:hAnsi="Times New Roman" w:cs="Times New Roman"/>
          <w:sz w:val="22"/>
          <w:szCs w:val="22"/>
        </w:rPr>
        <w:t>APWK/ 287/ 14/DKD), wymaganie zaoferowania przez Zamawiającego za</w:t>
      </w:r>
      <w:r w:rsidR="00522458" w:rsidRPr="00E2723E">
        <w:rPr>
          <w:rFonts w:ascii="Times New Roman" w:hAnsi="Times New Roman" w:cs="Times New Roman"/>
          <w:sz w:val="22"/>
          <w:szCs w:val="22"/>
        </w:rPr>
        <w:t xml:space="preserve">oferowania ilości opakowań bez </w:t>
      </w:r>
      <w:r w:rsidRPr="00E2723E">
        <w:rPr>
          <w:rFonts w:ascii="Times New Roman" w:hAnsi="Times New Roman" w:cs="Times New Roman"/>
          <w:sz w:val="22"/>
          <w:szCs w:val="22"/>
        </w:rPr>
        <w:t>wskazania ilości asortymentu w mililitrach może spowodować rozbieżności i</w:t>
      </w:r>
      <w:r w:rsidR="00522458" w:rsidRPr="00E2723E">
        <w:rPr>
          <w:rFonts w:ascii="Times New Roman" w:hAnsi="Times New Roman" w:cs="Times New Roman"/>
          <w:sz w:val="22"/>
          <w:szCs w:val="22"/>
        </w:rPr>
        <w:t xml:space="preserve">nterpretacyjne dotyczące opisu </w:t>
      </w:r>
      <w:r w:rsidRPr="00E2723E">
        <w:rPr>
          <w:rFonts w:ascii="Times New Roman" w:hAnsi="Times New Roman" w:cs="Times New Roman"/>
          <w:sz w:val="22"/>
          <w:szCs w:val="22"/>
        </w:rPr>
        <w:t>przedmiotu zamówienia i sposobu wyliczenia ceny przez Wykonawców</w:t>
      </w:r>
      <w:r w:rsidR="00522458" w:rsidRPr="00E2723E">
        <w:rPr>
          <w:rFonts w:ascii="Times New Roman" w:hAnsi="Times New Roman" w:cs="Times New Roman"/>
          <w:sz w:val="22"/>
          <w:szCs w:val="22"/>
        </w:rPr>
        <w:t xml:space="preserve">. Konsekwencją powyższego może </w:t>
      </w:r>
      <w:r w:rsidRPr="00E2723E">
        <w:rPr>
          <w:rFonts w:ascii="Times New Roman" w:hAnsi="Times New Roman" w:cs="Times New Roman"/>
          <w:sz w:val="22"/>
          <w:szCs w:val="22"/>
        </w:rPr>
        <w:t xml:space="preserve">być złożenie przez wykonawców w ramach postępowania przetargowego ofert nieporównywalnych. </w:t>
      </w:r>
    </w:p>
    <w:p w14:paraId="12946907" w14:textId="2B7B3612" w:rsidR="00CD1F28" w:rsidRPr="00E2723E" w:rsidRDefault="00CD1F28" w:rsidP="00CD1F28">
      <w:pPr>
        <w:jc w:val="both"/>
        <w:rPr>
          <w:rFonts w:ascii="Times New Roman" w:hAnsi="Times New Roman" w:cs="Times New Roman"/>
          <w:sz w:val="22"/>
          <w:szCs w:val="22"/>
        </w:rPr>
      </w:pPr>
      <w:r w:rsidRPr="00E2723E">
        <w:rPr>
          <w:rFonts w:ascii="Times New Roman" w:hAnsi="Times New Roman" w:cs="Times New Roman"/>
          <w:sz w:val="22"/>
          <w:szCs w:val="22"/>
        </w:rPr>
        <w:t>W przedmiotowej sprawie, sporządzony przez Zamawiającego opis przedmiotu zamówie</w:t>
      </w:r>
      <w:r w:rsidR="00522458" w:rsidRPr="00E2723E">
        <w:rPr>
          <w:rFonts w:ascii="Times New Roman" w:hAnsi="Times New Roman" w:cs="Times New Roman"/>
          <w:sz w:val="22"/>
          <w:szCs w:val="22"/>
        </w:rPr>
        <w:t xml:space="preserve">nia budzi </w:t>
      </w:r>
      <w:r w:rsidRPr="00E2723E">
        <w:rPr>
          <w:rFonts w:ascii="Times New Roman" w:hAnsi="Times New Roman" w:cs="Times New Roman"/>
          <w:sz w:val="22"/>
          <w:szCs w:val="22"/>
        </w:rPr>
        <w:t xml:space="preserve">wątpliwości w świetle dyspozycji art. 29 ust 1 ustawy </w:t>
      </w:r>
      <w:proofErr w:type="spellStart"/>
      <w:r w:rsidRPr="00E2723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E2723E">
        <w:rPr>
          <w:rFonts w:ascii="Times New Roman" w:hAnsi="Times New Roman" w:cs="Times New Roman"/>
          <w:sz w:val="22"/>
          <w:szCs w:val="22"/>
        </w:rPr>
        <w:t>. Przepis art. 29</w:t>
      </w:r>
      <w:r w:rsidR="00522458" w:rsidRPr="00E2723E">
        <w:rPr>
          <w:rFonts w:ascii="Times New Roman" w:hAnsi="Times New Roman" w:cs="Times New Roman"/>
          <w:sz w:val="22"/>
          <w:szCs w:val="22"/>
        </w:rPr>
        <w:t xml:space="preserve"> ust 1 ustawy </w:t>
      </w:r>
      <w:proofErr w:type="spellStart"/>
      <w:r w:rsidR="00522458" w:rsidRPr="00E2723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522458" w:rsidRPr="00E2723E">
        <w:rPr>
          <w:rFonts w:ascii="Times New Roman" w:hAnsi="Times New Roman" w:cs="Times New Roman"/>
          <w:sz w:val="22"/>
          <w:szCs w:val="22"/>
        </w:rPr>
        <w:t xml:space="preserve">, nie zwalnia </w:t>
      </w:r>
      <w:r w:rsidRPr="00E2723E">
        <w:rPr>
          <w:rFonts w:ascii="Times New Roman" w:hAnsi="Times New Roman" w:cs="Times New Roman"/>
          <w:sz w:val="22"/>
          <w:szCs w:val="22"/>
        </w:rPr>
        <w:t>Zamawiającego z obowiązku jasnego i wyczerpującego opisania przedmiot</w:t>
      </w:r>
      <w:r w:rsidR="00522458" w:rsidRPr="00E2723E">
        <w:rPr>
          <w:rFonts w:ascii="Times New Roman" w:hAnsi="Times New Roman" w:cs="Times New Roman"/>
          <w:sz w:val="22"/>
          <w:szCs w:val="22"/>
        </w:rPr>
        <w:t xml:space="preserve">u zamówienia nawet w sytuacji, </w:t>
      </w:r>
      <w:r w:rsidRPr="00E2723E">
        <w:rPr>
          <w:rFonts w:ascii="Times New Roman" w:hAnsi="Times New Roman" w:cs="Times New Roman"/>
          <w:sz w:val="22"/>
          <w:szCs w:val="22"/>
        </w:rPr>
        <w:t xml:space="preserve">gdy nie jest on w stanie przewidzieć dokładnych ilości zamawianych wyrobów. </w:t>
      </w:r>
    </w:p>
    <w:p w14:paraId="628DE1CC" w14:textId="77777777" w:rsidR="00CD1F28" w:rsidRPr="00E2723E" w:rsidRDefault="00CD1F28" w:rsidP="00CD1F28">
      <w:pPr>
        <w:jc w:val="both"/>
        <w:rPr>
          <w:rFonts w:ascii="Times New Roman" w:hAnsi="Times New Roman" w:cs="Times New Roman"/>
          <w:sz w:val="22"/>
          <w:szCs w:val="22"/>
        </w:rPr>
      </w:pPr>
      <w:r w:rsidRPr="00E2723E">
        <w:rPr>
          <w:rFonts w:ascii="Times New Roman" w:hAnsi="Times New Roman" w:cs="Times New Roman"/>
          <w:sz w:val="22"/>
          <w:szCs w:val="22"/>
        </w:rPr>
        <w:t xml:space="preserve">Ponadto podkreślić należy, iż niedopuszczalna jest sytuacja, w której Zamawiający przenosi na </w:t>
      </w:r>
    </w:p>
    <w:p w14:paraId="0F2C2422" w14:textId="37D1A201" w:rsidR="00CD1F28" w:rsidRPr="00E2723E" w:rsidRDefault="00CD1F28" w:rsidP="00CD1F28">
      <w:pPr>
        <w:jc w:val="both"/>
        <w:rPr>
          <w:rFonts w:ascii="Times New Roman" w:hAnsi="Times New Roman" w:cs="Times New Roman"/>
          <w:sz w:val="22"/>
          <w:szCs w:val="22"/>
        </w:rPr>
      </w:pPr>
      <w:r w:rsidRPr="00E2723E">
        <w:rPr>
          <w:rFonts w:ascii="Times New Roman" w:hAnsi="Times New Roman" w:cs="Times New Roman"/>
          <w:sz w:val="22"/>
          <w:szCs w:val="22"/>
        </w:rPr>
        <w:t>Wykonawców ciężar doprecyzowania przedmiotu zamówienia. Wyk</w:t>
      </w:r>
      <w:r w:rsidR="00522458" w:rsidRPr="00E2723E">
        <w:rPr>
          <w:rFonts w:ascii="Times New Roman" w:hAnsi="Times New Roman" w:cs="Times New Roman"/>
          <w:sz w:val="22"/>
          <w:szCs w:val="22"/>
        </w:rPr>
        <w:t xml:space="preserve">onawca nie ma bowiem obowiązku </w:t>
      </w:r>
      <w:r w:rsidRPr="00E2723E">
        <w:rPr>
          <w:rFonts w:ascii="Times New Roman" w:hAnsi="Times New Roman" w:cs="Times New Roman"/>
          <w:sz w:val="22"/>
          <w:szCs w:val="22"/>
        </w:rPr>
        <w:t>domyślania się jakiej ilości zamawianych wyrobów potrzebuje Z</w:t>
      </w:r>
      <w:r w:rsidR="00522458" w:rsidRPr="00E2723E">
        <w:rPr>
          <w:rFonts w:ascii="Times New Roman" w:hAnsi="Times New Roman" w:cs="Times New Roman"/>
          <w:sz w:val="22"/>
          <w:szCs w:val="22"/>
        </w:rPr>
        <w:t xml:space="preserve">amawiający, czy też wyręczenia </w:t>
      </w:r>
      <w:r w:rsidRPr="00E2723E">
        <w:rPr>
          <w:rFonts w:ascii="Times New Roman" w:hAnsi="Times New Roman" w:cs="Times New Roman"/>
          <w:sz w:val="22"/>
          <w:szCs w:val="22"/>
        </w:rPr>
        <w:t xml:space="preserve">Zamawiającego z opisania przedmiotu zamówienia zgodnie z zasadami wynikającymi z ustawy </w:t>
      </w:r>
      <w:proofErr w:type="spellStart"/>
      <w:r w:rsidRPr="00E2723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E2723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040C1C8" w14:textId="20CB873F" w:rsidR="00522458" w:rsidRPr="00E2723E" w:rsidRDefault="00E2723E" w:rsidP="00CD1F2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2723E">
        <w:rPr>
          <w:rFonts w:ascii="Times New Roman" w:hAnsi="Times New Roman" w:cs="Times New Roman"/>
          <w:b/>
          <w:sz w:val="22"/>
          <w:szCs w:val="22"/>
        </w:rPr>
        <w:t xml:space="preserve">Odp. Prosimy przeliczyć z podanej liczby badań zgodnie z metodyką dostawcy. Uważamy ze to jasno precyzuje ilości po stronie dostawcy.  </w:t>
      </w:r>
    </w:p>
    <w:p w14:paraId="2B72DDBB" w14:textId="77777777" w:rsidR="00CD1F28" w:rsidRPr="00E2723E" w:rsidRDefault="00CD1F28" w:rsidP="00CD1F28">
      <w:pPr>
        <w:jc w:val="both"/>
        <w:rPr>
          <w:rFonts w:ascii="Times New Roman" w:hAnsi="Times New Roman" w:cs="Times New Roman"/>
          <w:sz w:val="22"/>
          <w:szCs w:val="22"/>
        </w:rPr>
      </w:pPr>
      <w:r w:rsidRPr="00E2723E">
        <w:rPr>
          <w:rFonts w:ascii="Times New Roman" w:hAnsi="Times New Roman" w:cs="Times New Roman"/>
          <w:sz w:val="22"/>
          <w:szCs w:val="22"/>
        </w:rPr>
        <w:t>Zapytanie do pozycji 6.8 oraz 6.9 Roztwór do zamrażania krwinek czerwonych</w:t>
      </w:r>
    </w:p>
    <w:p w14:paraId="7DAC7523" w14:textId="6D460BE6" w:rsidR="00CD1F28" w:rsidRPr="00E2723E" w:rsidRDefault="00CD1F28" w:rsidP="00CD1F28">
      <w:pPr>
        <w:jc w:val="both"/>
        <w:rPr>
          <w:rFonts w:ascii="Times New Roman" w:hAnsi="Times New Roman" w:cs="Times New Roman"/>
          <w:sz w:val="22"/>
          <w:szCs w:val="22"/>
        </w:rPr>
      </w:pPr>
      <w:r w:rsidRPr="00E2723E">
        <w:rPr>
          <w:rFonts w:ascii="Times New Roman" w:hAnsi="Times New Roman" w:cs="Times New Roman"/>
          <w:sz w:val="22"/>
          <w:szCs w:val="22"/>
        </w:rPr>
        <w:t>Wnioskujemy o odstąpienie od pozycji 6,8 oraz 6.9 ponieważ żadna meto</w:t>
      </w:r>
      <w:r w:rsidR="00522458" w:rsidRPr="00E2723E">
        <w:rPr>
          <w:rFonts w:ascii="Times New Roman" w:hAnsi="Times New Roman" w:cs="Times New Roman"/>
          <w:sz w:val="22"/>
          <w:szCs w:val="22"/>
        </w:rPr>
        <w:t xml:space="preserve">dyka </w:t>
      </w:r>
      <w:proofErr w:type="spellStart"/>
      <w:r w:rsidR="00522458" w:rsidRPr="00E2723E">
        <w:rPr>
          <w:rFonts w:ascii="Times New Roman" w:hAnsi="Times New Roman" w:cs="Times New Roman"/>
          <w:sz w:val="22"/>
          <w:szCs w:val="22"/>
        </w:rPr>
        <w:t>mikrożelowa</w:t>
      </w:r>
      <w:proofErr w:type="spellEnd"/>
      <w:r w:rsidR="00522458" w:rsidRPr="00E2723E">
        <w:rPr>
          <w:rFonts w:ascii="Times New Roman" w:hAnsi="Times New Roman" w:cs="Times New Roman"/>
          <w:sz w:val="22"/>
          <w:szCs w:val="22"/>
        </w:rPr>
        <w:t xml:space="preserve"> stosowania do </w:t>
      </w:r>
      <w:r w:rsidRPr="00E2723E">
        <w:rPr>
          <w:rFonts w:ascii="Times New Roman" w:hAnsi="Times New Roman" w:cs="Times New Roman"/>
          <w:sz w:val="22"/>
          <w:szCs w:val="22"/>
        </w:rPr>
        <w:t>diagnozowania pacjentów nie dopuszcza zamrażania próbek a potem ro</w:t>
      </w:r>
      <w:r w:rsidR="00522458" w:rsidRPr="00E2723E">
        <w:rPr>
          <w:rFonts w:ascii="Times New Roman" w:hAnsi="Times New Roman" w:cs="Times New Roman"/>
          <w:sz w:val="22"/>
          <w:szCs w:val="22"/>
        </w:rPr>
        <w:t xml:space="preserve">zmrażania i badania. Metodyka </w:t>
      </w:r>
      <w:r w:rsidRPr="00E2723E">
        <w:rPr>
          <w:rFonts w:ascii="Times New Roman" w:hAnsi="Times New Roman" w:cs="Times New Roman"/>
          <w:sz w:val="22"/>
          <w:szCs w:val="22"/>
        </w:rPr>
        <w:t xml:space="preserve">wymaga dokonania badania na świeżej próbce . Przechowywanie próbek krwi pacjenta nie znajduje </w:t>
      </w:r>
    </w:p>
    <w:p w14:paraId="02021A80" w14:textId="7D9C8B31" w:rsidR="00CD1F28" w:rsidRPr="00E2723E" w:rsidRDefault="00522458" w:rsidP="00CD1F28">
      <w:pPr>
        <w:jc w:val="both"/>
        <w:rPr>
          <w:rFonts w:ascii="Times New Roman" w:hAnsi="Times New Roman" w:cs="Times New Roman"/>
          <w:sz w:val="22"/>
          <w:szCs w:val="22"/>
        </w:rPr>
      </w:pPr>
      <w:r w:rsidRPr="00E2723E">
        <w:rPr>
          <w:rFonts w:ascii="Times New Roman" w:hAnsi="Times New Roman" w:cs="Times New Roman"/>
          <w:sz w:val="22"/>
          <w:szCs w:val="22"/>
        </w:rPr>
        <w:t>uzasadnienia</w:t>
      </w:r>
      <w:r w:rsidR="00CD1F28" w:rsidRPr="00E2723E">
        <w:rPr>
          <w:rFonts w:ascii="Times New Roman" w:hAnsi="Times New Roman" w:cs="Times New Roman"/>
          <w:sz w:val="22"/>
          <w:szCs w:val="22"/>
        </w:rPr>
        <w:t xml:space="preserve">. Wymaganie jednego producenta wraz z wymaganiem </w:t>
      </w:r>
      <w:r w:rsidRPr="00E2723E">
        <w:rPr>
          <w:rFonts w:ascii="Times New Roman" w:hAnsi="Times New Roman" w:cs="Times New Roman"/>
          <w:sz w:val="22"/>
          <w:szCs w:val="22"/>
        </w:rPr>
        <w:t>roztworu</w:t>
      </w:r>
      <w:r w:rsidR="00CD1F28" w:rsidRPr="00E2723E">
        <w:rPr>
          <w:rFonts w:ascii="Times New Roman" w:hAnsi="Times New Roman" w:cs="Times New Roman"/>
          <w:sz w:val="22"/>
          <w:szCs w:val="22"/>
        </w:rPr>
        <w:t xml:space="preserve"> d</w:t>
      </w:r>
      <w:r w:rsidRPr="00E2723E">
        <w:rPr>
          <w:rFonts w:ascii="Times New Roman" w:hAnsi="Times New Roman" w:cs="Times New Roman"/>
          <w:sz w:val="22"/>
          <w:szCs w:val="22"/>
        </w:rPr>
        <w:t xml:space="preserve">o zamrażania próbek który jest </w:t>
      </w:r>
      <w:r w:rsidR="00CD1F28" w:rsidRPr="00E2723E">
        <w:rPr>
          <w:rFonts w:ascii="Times New Roman" w:hAnsi="Times New Roman" w:cs="Times New Roman"/>
          <w:sz w:val="22"/>
          <w:szCs w:val="22"/>
        </w:rPr>
        <w:t xml:space="preserve">stosowany tylko w </w:t>
      </w:r>
      <w:proofErr w:type="spellStart"/>
      <w:r w:rsidR="00CD1F28" w:rsidRPr="00E2723E">
        <w:rPr>
          <w:rFonts w:ascii="Times New Roman" w:hAnsi="Times New Roman" w:cs="Times New Roman"/>
          <w:sz w:val="22"/>
          <w:szCs w:val="22"/>
        </w:rPr>
        <w:t>RCKiK</w:t>
      </w:r>
      <w:proofErr w:type="spellEnd"/>
      <w:r w:rsidR="00CD1F28" w:rsidRPr="00E2723E">
        <w:rPr>
          <w:rFonts w:ascii="Times New Roman" w:hAnsi="Times New Roman" w:cs="Times New Roman"/>
          <w:sz w:val="22"/>
          <w:szCs w:val="22"/>
        </w:rPr>
        <w:t xml:space="preserve"> wprost wskazuje na preferowanie firm</w:t>
      </w:r>
      <w:r w:rsidRPr="00E2723E">
        <w:rPr>
          <w:rFonts w:ascii="Times New Roman" w:hAnsi="Times New Roman" w:cs="Times New Roman"/>
          <w:sz w:val="22"/>
          <w:szCs w:val="22"/>
        </w:rPr>
        <w:t xml:space="preserve">y </w:t>
      </w:r>
      <w:proofErr w:type="spellStart"/>
      <w:r w:rsidRPr="00E2723E">
        <w:rPr>
          <w:rFonts w:ascii="Times New Roman" w:hAnsi="Times New Roman" w:cs="Times New Roman"/>
          <w:sz w:val="22"/>
          <w:szCs w:val="22"/>
        </w:rPr>
        <w:t>DiaMed</w:t>
      </w:r>
      <w:proofErr w:type="spellEnd"/>
      <w:r w:rsidRPr="00E2723E">
        <w:rPr>
          <w:rFonts w:ascii="Times New Roman" w:hAnsi="Times New Roman" w:cs="Times New Roman"/>
          <w:sz w:val="22"/>
          <w:szCs w:val="22"/>
        </w:rPr>
        <w:t xml:space="preserve"> czyli dotychczasowego </w:t>
      </w:r>
      <w:r w:rsidR="00CD1F28" w:rsidRPr="00E2723E">
        <w:rPr>
          <w:rFonts w:ascii="Times New Roman" w:hAnsi="Times New Roman" w:cs="Times New Roman"/>
          <w:sz w:val="22"/>
          <w:szCs w:val="22"/>
        </w:rPr>
        <w:t>dostawy. Jeśli Zamawiający nie odstąpi od wymagania zaoferowania roz</w:t>
      </w:r>
      <w:r w:rsidRPr="00E2723E">
        <w:rPr>
          <w:rFonts w:ascii="Times New Roman" w:hAnsi="Times New Roman" w:cs="Times New Roman"/>
          <w:sz w:val="22"/>
          <w:szCs w:val="22"/>
        </w:rPr>
        <w:t xml:space="preserve">tworu do zamrażania krwinek to </w:t>
      </w:r>
      <w:r w:rsidR="00CD1F28" w:rsidRPr="00E2723E">
        <w:rPr>
          <w:rFonts w:ascii="Times New Roman" w:hAnsi="Times New Roman" w:cs="Times New Roman"/>
          <w:sz w:val="22"/>
          <w:szCs w:val="22"/>
        </w:rPr>
        <w:t>wnosimy o dopuszczenie innego producenta w tych pozycjach.</w:t>
      </w:r>
    </w:p>
    <w:p w14:paraId="3B103CB3" w14:textId="303B1EC0" w:rsidR="00E2723E" w:rsidRPr="00E2723E" w:rsidRDefault="00E2723E" w:rsidP="00CD1F2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2723E">
        <w:rPr>
          <w:rFonts w:ascii="Times New Roman" w:hAnsi="Times New Roman" w:cs="Times New Roman"/>
          <w:b/>
          <w:sz w:val="22"/>
          <w:szCs w:val="22"/>
        </w:rPr>
        <w:t>Odp. Dopuszczamy innego producenta.</w:t>
      </w:r>
    </w:p>
    <w:p w14:paraId="78F57D6F" w14:textId="77777777" w:rsidR="00E2723E" w:rsidRPr="00E2723E" w:rsidRDefault="00E2723E" w:rsidP="00CD1F2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359495" w14:textId="77777777" w:rsidR="00E2723E" w:rsidRPr="00E2723E" w:rsidRDefault="00E2723E" w:rsidP="00CD1F2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9920440" w14:textId="77777777" w:rsidR="00E2723E" w:rsidRPr="00E2723E" w:rsidRDefault="00E2723E" w:rsidP="00CD1F2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BCEA99E" w14:textId="77777777" w:rsidR="009B3A17" w:rsidRPr="00E2723E" w:rsidRDefault="009B3A17" w:rsidP="00EE7BE3">
      <w:pPr>
        <w:jc w:val="both"/>
        <w:rPr>
          <w:rFonts w:ascii="Times New Roman" w:hAnsi="Times New Roman" w:cs="Times New Roman"/>
          <w:sz w:val="22"/>
          <w:szCs w:val="22"/>
        </w:rPr>
      </w:pPr>
      <w:r w:rsidRPr="00E2723E">
        <w:rPr>
          <w:rFonts w:ascii="Times New Roman" w:hAnsi="Times New Roman" w:cs="Times New Roman"/>
          <w:sz w:val="22"/>
          <w:szCs w:val="22"/>
        </w:rPr>
        <w:t>Powyższe wyjaśnienia i modyfikacje treści SIWZ zostały dokonane zgodnie z art. 38 Ustawy Prawo Zamówień Publicznych z dnia 29 stycznia 2004 roku i są dla Wykonawców wiążące.</w:t>
      </w:r>
    </w:p>
    <w:p w14:paraId="724E0A0E" w14:textId="77777777" w:rsidR="009B3A17" w:rsidRPr="00E2723E" w:rsidRDefault="009B3A17" w:rsidP="00EE7BE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36E4BE70" w14:textId="77777777" w:rsidR="009B3A17" w:rsidRPr="00E2723E" w:rsidRDefault="009B3A17" w:rsidP="00EE7BE3">
      <w:pPr>
        <w:jc w:val="both"/>
        <w:rPr>
          <w:rFonts w:ascii="Times New Roman" w:hAnsi="Times New Roman" w:cs="Times New Roman"/>
          <w:sz w:val="22"/>
          <w:szCs w:val="22"/>
        </w:rPr>
      </w:pPr>
      <w:r w:rsidRPr="00E2723E">
        <w:rPr>
          <w:rFonts w:ascii="Times New Roman" w:hAnsi="Times New Roman" w:cs="Times New Roman"/>
          <w:sz w:val="22"/>
          <w:szCs w:val="22"/>
        </w:rPr>
        <w:t>Do wiadomości:</w:t>
      </w:r>
    </w:p>
    <w:p w14:paraId="006A9234" w14:textId="77777777" w:rsidR="009B3A17" w:rsidRPr="00E2723E" w:rsidRDefault="009B3A17" w:rsidP="00EE7BE3">
      <w:pPr>
        <w:jc w:val="both"/>
        <w:rPr>
          <w:rFonts w:ascii="Times New Roman" w:hAnsi="Times New Roman" w:cs="Times New Roman"/>
          <w:sz w:val="22"/>
          <w:szCs w:val="22"/>
        </w:rPr>
      </w:pPr>
      <w:r w:rsidRPr="00E2723E">
        <w:rPr>
          <w:rFonts w:ascii="Times New Roman" w:hAnsi="Times New Roman" w:cs="Times New Roman"/>
          <w:sz w:val="22"/>
          <w:szCs w:val="22"/>
        </w:rPr>
        <w:t>- wszyscy uczestnicy</w:t>
      </w:r>
    </w:p>
    <w:bookmarkEnd w:id="0"/>
    <w:p w14:paraId="26E3683C" w14:textId="77777777" w:rsidR="002952E6" w:rsidRPr="002952E6" w:rsidRDefault="002952E6" w:rsidP="00EE7BE3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8FC1C" w14:textId="77777777" w:rsidR="00786990" w:rsidRDefault="00786990" w:rsidP="00BB1BD7">
      <w:r>
        <w:separator/>
      </w:r>
    </w:p>
  </w:endnote>
  <w:endnote w:type="continuationSeparator" w:id="0">
    <w:p w14:paraId="6F8A57A4" w14:textId="77777777" w:rsidR="00786990" w:rsidRDefault="00786990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CEB2E" w14:textId="77777777" w:rsidR="00786990" w:rsidRDefault="00786990" w:rsidP="00BB1BD7">
      <w:r>
        <w:separator/>
      </w:r>
    </w:p>
  </w:footnote>
  <w:footnote w:type="continuationSeparator" w:id="0">
    <w:p w14:paraId="30C7F618" w14:textId="77777777" w:rsidR="00786990" w:rsidRDefault="00786990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352285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A709F"/>
    <w:rsid w:val="000C336E"/>
    <w:rsid w:val="000F7FD5"/>
    <w:rsid w:val="0010630F"/>
    <w:rsid w:val="00115C9B"/>
    <w:rsid w:val="001627BC"/>
    <w:rsid w:val="001C6112"/>
    <w:rsid w:val="001D0325"/>
    <w:rsid w:val="002952E6"/>
    <w:rsid w:val="002A0874"/>
    <w:rsid w:val="002E16FD"/>
    <w:rsid w:val="0037039B"/>
    <w:rsid w:val="003E39E8"/>
    <w:rsid w:val="004C1CF6"/>
    <w:rsid w:val="004E08A7"/>
    <w:rsid w:val="005054EC"/>
    <w:rsid w:val="00522458"/>
    <w:rsid w:val="00552218"/>
    <w:rsid w:val="0056156F"/>
    <w:rsid w:val="005617AE"/>
    <w:rsid w:val="00584EE4"/>
    <w:rsid w:val="005B5642"/>
    <w:rsid w:val="005C3C60"/>
    <w:rsid w:val="005E6112"/>
    <w:rsid w:val="005F1429"/>
    <w:rsid w:val="0060760B"/>
    <w:rsid w:val="006960E6"/>
    <w:rsid w:val="006E5948"/>
    <w:rsid w:val="0070292A"/>
    <w:rsid w:val="00730234"/>
    <w:rsid w:val="00750E36"/>
    <w:rsid w:val="00753611"/>
    <w:rsid w:val="00786990"/>
    <w:rsid w:val="007D5A68"/>
    <w:rsid w:val="007E06FD"/>
    <w:rsid w:val="00836A7D"/>
    <w:rsid w:val="00841403"/>
    <w:rsid w:val="008A58AA"/>
    <w:rsid w:val="008D5597"/>
    <w:rsid w:val="008D66C7"/>
    <w:rsid w:val="00904212"/>
    <w:rsid w:val="00914F55"/>
    <w:rsid w:val="00924945"/>
    <w:rsid w:val="00990296"/>
    <w:rsid w:val="009B3A17"/>
    <w:rsid w:val="009C27EF"/>
    <w:rsid w:val="00A76E8A"/>
    <w:rsid w:val="00AA5E75"/>
    <w:rsid w:val="00AB0134"/>
    <w:rsid w:val="00AE5A17"/>
    <w:rsid w:val="00AF299D"/>
    <w:rsid w:val="00B0502D"/>
    <w:rsid w:val="00B06AF4"/>
    <w:rsid w:val="00B10F26"/>
    <w:rsid w:val="00B85B00"/>
    <w:rsid w:val="00B8691C"/>
    <w:rsid w:val="00BB1BD7"/>
    <w:rsid w:val="00CA6BDC"/>
    <w:rsid w:val="00CC0C89"/>
    <w:rsid w:val="00CC24A9"/>
    <w:rsid w:val="00CD1F28"/>
    <w:rsid w:val="00CF1121"/>
    <w:rsid w:val="00CF2EC0"/>
    <w:rsid w:val="00D06286"/>
    <w:rsid w:val="00D52042"/>
    <w:rsid w:val="00D53918"/>
    <w:rsid w:val="00DC74A1"/>
    <w:rsid w:val="00E20375"/>
    <w:rsid w:val="00E20E09"/>
    <w:rsid w:val="00E2723E"/>
    <w:rsid w:val="00ED1C05"/>
    <w:rsid w:val="00EE7BE3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styleId="Bezodstpw">
    <w:name w:val="No Spacing"/>
    <w:qFormat/>
    <w:rsid w:val="00904212"/>
    <w:pPr>
      <w:autoSpaceDN w:val="0"/>
    </w:pPr>
    <w:rPr>
      <w:rFonts w:ascii="Calibri" w:eastAsia="Calibri" w:hAnsi="Calibri" w:cs="Times New Roman"/>
      <w:sz w:val="22"/>
      <w:szCs w:val="22"/>
    </w:rPr>
  </w:style>
  <w:style w:type="paragraph" w:customStyle="1" w:styleId="pkt">
    <w:name w:val="pkt"/>
    <w:basedOn w:val="Normalny"/>
    <w:rsid w:val="0090421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2"/>
      <w:lang w:eastAsia="hi-IN" w:bidi="hi-IN"/>
    </w:rPr>
  </w:style>
  <w:style w:type="character" w:styleId="Pogrubienie">
    <w:name w:val="Strong"/>
    <w:basedOn w:val="Domylnaczcionkaakapitu"/>
    <w:qFormat/>
    <w:rsid w:val="009042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styleId="Bezodstpw">
    <w:name w:val="No Spacing"/>
    <w:qFormat/>
    <w:rsid w:val="00904212"/>
    <w:pPr>
      <w:autoSpaceDN w:val="0"/>
    </w:pPr>
    <w:rPr>
      <w:rFonts w:ascii="Calibri" w:eastAsia="Calibri" w:hAnsi="Calibri" w:cs="Times New Roman"/>
      <w:sz w:val="22"/>
      <w:szCs w:val="22"/>
    </w:rPr>
  </w:style>
  <w:style w:type="paragraph" w:customStyle="1" w:styleId="pkt">
    <w:name w:val="pkt"/>
    <w:basedOn w:val="Normalny"/>
    <w:rsid w:val="0090421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2"/>
      <w:lang w:eastAsia="hi-IN" w:bidi="hi-IN"/>
    </w:rPr>
  </w:style>
  <w:style w:type="character" w:styleId="Pogrubienie">
    <w:name w:val="Strong"/>
    <w:basedOn w:val="Domylnaczcionkaakapitu"/>
    <w:qFormat/>
    <w:rsid w:val="00904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FBC67-EBB1-46C5-AD9D-1588C428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1295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4</cp:revision>
  <cp:lastPrinted>2018-12-12T10:47:00Z</cp:lastPrinted>
  <dcterms:created xsi:type="dcterms:W3CDTF">2019-02-19T06:35:00Z</dcterms:created>
  <dcterms:modified xsi:type="dcterms:W3CDTF">2019-02-19T07:56:00Z</dcterms:modified>
</cp:coreProperties>
</file>