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943F975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C0C68">
        <w:rPr>
          <w:rFonts w:eastAsia="Times New Roman" w:cs="Times New Roman"/>
          <w:sz w:val="22"/>
          <w:szCs w:val="22"/>
          <w:lang w:eastAsia="pl-PL"/>
        </w:rPr>
        <w:t>12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6668C3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5FF67F" w14:textId="73AA0E91" w:rsidR="002C0C68" w:rsidRPr="002C0C68" w:rsidRDefault="00A20E60" w:rsidP="002C0C6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>d</w:t>
      </w:r>
      <w:r w:rsidR="002C0C68" w:rsidRP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>ostawa gazów medycznych  do  Regionalnego Szpitala w Kołobrzegu</w:t>
      </w:r>
    </w:p>
    <w:p w14:paraId="04C9FD0F" w14:textId="3C45AF39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7C342C85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C0C68">
        <w:rPr>
          <w:rFonts w:eastAsia="Times New Roman" w:cs="Times New Roman"/>
          <w:sz w:val="22"/>
          <w:szCs w:val="22"/>
          <w:lang w:eastAsia="pl-PL"/>
        </w:rPr>
        <w:t>12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C11F2E">
        <w:rPr>
          <w:rFonts w:eastAsia="Times New Roman" w:cs="Times New Roman"/>
          <w:sz w:val="22"/>
          <w:szCs w:val="22"/>
          <w:lang w:eastAsia="pl-PL"/>
        </w:rPr>
        <w:t>7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3217EC3" w14:textId="77777777" w:rsidR="002C0C68" w:rsidRPr="002C0C68" w:rsidRDefault="002C0C68" w:rsidP="002C0C68">
      <w:pPr>
        <w:pStyle w:val="Akapitzlist"/>
        <w:numPr>
          <w:ilvl w:val="0"/>
          <w:numId w:val="6"/>
        </w:numPr>
        <w:tabs>
          <w:tab w:val="left" w:pos="567"/>
          <w:tab w:val="left" w:pos="1440"/>
        </w:tabs>
        <w:ind w:right="283"/>
        <w:rPr>
          <w:rFonts w:cstheme="minorHAnsi"/>
          <w:sz w:val="22"/>
        </w:rPr>
      </w:pPr>
      <w:r w:rsidRPr="002C0C68">
        <w:rPr>
          <w:rFonts w:cstheme="minorHAnsi"/>
          <w:b/>
          <w:sz w:val="22"/>
          <w:szCs w:val="22"/>
        </w:rPr>
        <w:t>Pytanie 1</w:t>
      </w:r>
    </w:p>
    <w:p w14:paraId="45693F49" w14:textId="77777777" w:rsidR="002C0C68" w:rsidRDefault="002C0C68" w:rsidP="002C0C68">
      <w:pPr>
        <w:pStyle w:val="Akapitzlist"/>
        <w:tabs>
          <w:tab w:val="left" w:pos="567"/>
          <w:tab w:val="left" w:pos="1440"/>
        </w:tabs>
        <w:ind w:left="360" w:right="283"/>
        <w:jc w:val="both"/>
        <w:rPr>
          <w:rFonts w:cstheme="minorHAnsi"/>
          <w:sz w:val="22"/>
        </w:rPr>
      </w:pPr>
      <w:r w:rsidRPr="002C0C68">
        <w:rPr>
          <w:rFonts w:cstheme="minorHAnsi"/>
          <w:sz w:val="22"/>
        </w:rPr>
        <w:t>Mając na względzie zasady uczciwej konkurencji, prosimy Zamawiającego o wyrażenie zgody na zaoferowanie gazu medycznego sprężonego, mieszaniny podtlenku  azotu 50% i tlenu 50% o innej nazwie handlowej,  w butli aluminiowej z zaworem zintegrowanym o pojemności wodnej 11 litrów, zawierającej 3,23 m3 mieszaniny gazów. Jednocześnie, ze względu na różne pojemności gazu w butlach 10l i 11l prosimy o wyrażenie zgody na właściwe przeliczenie liczby butli, w celu uzyskania porównywalnych ofert, a mianowicie:</w:t>
      </w:r>
    </w:p>
    <w:p w14:paraId="194BC393" w14:textId="77777777" w:rsidR="002C0C68" w:rsidRDefault="002C0C68" w:rsidP="002C0C68">
      <w:pPr>
        <w:pStyle w:val="Akapitzlist"/>
        <w:tabs>
          <w:tab w:val="left" w:pos="567"/>
          <w:tab w:val="left" w:pos="1440"/>
        </w:tabs>
        <w:ind w:left="360" w:right="283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30</w:t>
      </w:r>
      <w:r w:rsidRPr="00BE299A">
        <w:rPr>
          <w:rFonts w:cstheme="minorHAnsi"/>
          <w:sz w:val="22"/>
        </w:rPr>
        <w:t xml:space="preserve"> butli x 2,8m3 (gazu w butli 10l) = </w:t>
      </w:r>
      <w:r>
        <w:rPr>
          <w:rFonts w:cstheme="minorHAnsi"/>
          <w:sz w:val="22"/>
        </w:rPr>
        <w:t>84</w:t>
      </w:r>
      <w:r w:rsidRPr="00BE299A">
        <w:rPr>
          <w:rFonts w:cstheme="minorHAnsi"/>
          <w:sz w:val="22"/>
        </w:rPr>
        <w:t xml:space="preserve"> m3 gazu wymaganego przez Zamawiającego</w:t>
      </w:r>
    </w:p>
    <w:p w14:paraId="628D48CF" w14:textId="77777777" w:rsidR="002C0C68" w:rsidRDefault="002C0C68" w:rsidP="002C0C68">
      <w:pPr>
        <w:pStyle w:val="Akapitzlist"/>
        <w:tabs>
          <w:tab w:val="left" w:pos="567"/>
          <w:tab w:val="left" w:pos="1440"/>
        </w:tabs>
        <w:ind w:left="360" w:right="283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84</w:t>
      </w:r>
      <w:r w:rsidRPr="00BE299A">
        <w:rPr>
          <w:rFonts w:cstheme="minorHAnsi"/>
          <w:sz w:val="22"/>
        </w:rPr>
        <w:t xml:space="preserve"> m3 gazu wymaganego : 3,23m3 (gazu w butli 11l) = </w:t>
      </w:r>
      <w:r>
        <w:rPr>
          <w:rFonts w:cstheme="minorHAnsi"/>
          <w:sz w:val="22"/>
        </w:rPr>
        <w:t>26</w:t>
      </w:r>
      <w:r w:rsidRPr="00BE299A">
        <w:rPr>
          <w:rFonts w:cstheme="minorHAnsi"/>
          <w:sz w:val="22"/>
        </w:rPr>
        <w:t>,01 butli 11l (</w:t>
      </w:r>
      <w:r>
        <w:rPr>
          <w:rFonts w:cstheme="minorHAnsi"/>
          <w:sz w:val="22"/>
        </w:rPr>
        <w:t>27 butli</w:t>
      </w:r>
      <w:r w:rsidRPr="00BE299A">
        <w:rPr>
          <w:rFonts w:cstheme="minorHAnsi"/>
          <w:sz w:val="22"/>
        </w:rPr>
        <w:t xml:space="preserve"> w zaokrągleniu do pełnych butli)</w:t>
      </w:r>
    </w:p>
    <w:p w14:paraId="6432D82D" w14:textId="77777777" w:rsidR="002C0C68" w:rsidRDefault="002C0C68" w:rsidP="002C0C68">
      <w:pPr>
        <w:pStyle w:val="Akapitzlist"/>
        <w:tabs>
          <w:tab w:val="left" w:pos="567"/>
          <w:tab w:val="left" w:pos="1440"/>
        </w:tabs>
        <w:ind w:left="360" w:right="283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Prosimy o możliwość zaoferowania 27 butli 11l (3,23m3) wraz z pasującym do nich stojakiem.</w:t>
      </w:r>
    </w:p>
    <w:p w14:paraId="05D8F172" w14:textId="0D9C294B" w:rsidR="002C0C68" w:rsidRDefault="002C0C68" w:rsidP="002C0C68">
      <w:pPr>
        <w:pStyle w:val="Akapitzlist"/>
        <w:tabs>
          <w:tab w:val="left" w:pos="567"/>
          <w:tab w:val="left" w:pos="1440"/>
        </w:tabs>
        <w:ind w:left="360" w:right="283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Rozwiązanie takie jest korzystne dla Zamawiającego ze względu na możliwość uzyskania przez Zamawiającego lepszych warunków cenowych, z zachowaniem zasad uczciwej konkurencji.</w:t>
      </w:r>
    </w:p>
    <w:p w14:paraId="6EB34E18" w14:textId="3AE8C7C9" w:rsidR="002C0C68" w:rsidRPr="002C0C68" w:rsidRDefault="002C0C68" w:rsidP="002C0C68">
      <w:pPr>
        <w:tabs>
          <w:tab w:val="left" w:pos="567"/>
        </w:tabs>
        <w:ind w:right="283"/>
        <w:rPr>
          <w:rFonts w:cstheme="minorHAnsi"/>
          <w:b/>
          <w:sz w:val="22"/>
        </w:rPr>
      </w:pPr>
      <w:r w:rsidRPr="002C0C68">
        <w:rPr>
          <w:rFonts w:cstheme="minorHAnsi"/>
          <w:b/>
          <w:sz w:val="22"/>
        </w:rPr>
        <w:t>Odp.:  Zgodnie z zapytaniem ofertowym.</w:t>
      </w:r>
    </w:p>
    <w:p w14:paraId="5CC1C51C" w14:textId="77777777" w:rsidR="002C0C68" w:rsidRPr="002C0C68" w:rsidRDefault="002C0C68" w:rsidP="002C0C68">
      <w:pPr>
        <w:pStyle w:val="Akapitzlist"/>
        <w:numPr>
          <w:ilvl w:val="0"/>
          <w:numId w:val="6"/>
        </w:numPr>
        <w:tabs>
          <w:tab w:val="left" w:pos="567"/>
        </w:tabs>
        <w:ind w:right="-1"/>
        <w:rPr>
          <w:rFonts w:cs="Times New Roman"/>
          <w:b/>
          <w:sz w:val="22"/>
          <w:szCs w:val="22"/>
        </w:rPr>
      </w:pPr>
      <w:r w:rsidRPr="002C0C68">
        <w:rPr>
          <w:rFonts w:cs="Times New Roman"/>
          <w:b/>
          <w:sz w:val="22"/>
          <w:szCs w:val="22"/>
        </w:rPr>
        <w:t>Pytanie 2</w:t>
      </w:r>
    </w:p>
    <w:p w14:paraId="2E62910F" w14:textId="55A4CE8B" w:rsidR="002C0C68" w:rsidRDefault="002C0C68" w:rsidP="002C0C68">
      <w:pPr>
        <w:ind w:left="360" w:right="283"/>
        <w:jc w:val="both"/>
        <w:rPr>
          <w:rFonts w:cstheme="minorHAnsi"/>
          <w:color w:val="222222"/>
          <w:sz w:val="22"/>
        </w:rPr>
      </w:pPr>
      <w:r>
        <w:rPr>
          <w:rFonts w:cstheme="minorHAnsi"/>
          <w:sz w:val="22"/>
        </w:rPr>
        <w:t xml:space="preserve">W związku z tym, iż Zamawiający stosuje gaz mieszaninę tlenu medycznego i podtlenku azotu w proporcjach 50% / 50% </w:t>
      </w:r>
      <w:r>
        <w:rPr>
          <w:rFonts w:cstheme="minorHAnsi"/>
          <w:b/>
          <w:sz w:val="22"/>
        </w:rPr>
        <w:t>w położnictwie</w:t>
      </w:r>
      <w:r>
        <w:rPr>
          <w:rFonts w:cstheme="minorHAnsi"/>
          <w:sz w:val="22"/>
        </w:rPr>
        <w:t xml:space="preserve">, </w:t>
      </w:r>
      <w:r>
        <w:rPr>
          <w:rFonts w:cstheme="minorHAnsi"/>
          <w:color w:val="222222"/>
          <w:sz w:val="22"/>
        </w:rPr>
        <w:t>to czy Zamawiający wymaga zaoferowania produktu leczniczego, </w:t>
      </w:r>
      <w:r>
        <w:rPr>
          <w:rFonts w:cstheme="minorHAnsi"/>
          <w:sz w:val="22"/>
        </w:rPr>
        <w:t>gazu medycznego 50% tlenu i 50% podtlenku azotu</w:t>
      </w:r>
      <w:r>
        <w:rPr>
          <w:rFonts w:cstheme="minorHAnsi"/>
          <w:color w:val="222222"/>
          <w:sz w:val="22"/>
        </w:rPr>
        <w:t xml:space="preserve">, który oprócz wskazania do stosowania w krótkotrwałych, bolesnych procedurach medycznych, </w:t>
      </w:r>
      <w:r>
        <w:rPr>
          <w:rFonts w:cstheme="minorHAnsi"/>
          <w:b/>
          <w:color w:val="222222"/>
          <w:sz w:val="22"/>
          <w:u w:val="single"/>
        </w:rPr>
        <w:t>posiada wskazania do stosowania i określony sposób podawania w położnictwie</w:t>
      </w:r>
      <w:r>
        <w:rPr>
          <w:rFonts w:cstheme="minorHAnsi"/>
          <w:color w:val="222222"/>
          <w:sz w:val="22"/>
        </w:rPr>
        <w:t xml:space="preserve"> (punkt 4.1</w:t>
      </w:r>
      <w:r>
        <w:rPr>
          <w:rFonts w:cstheme="minorHAnsi"/>
          <w:i/>
          <w:iCs/>
          <w:color w:val="222222"/>
          <w:sz w:val="22"/>
        </w:rPr>
        <w:t> Wskazania do stosowania </w:t>
      </w:r>
      <w:r>
        <w:rPr>
          <w:rFonts w:cstheme="minorHAnsi"/>
          <w:color w:val="222222"/>
          <w:sz w:val="22"/>
        </w:rPr>
        <w:t>i</w:t>
      </w:r>
      <w:r>
        <w:rPr>
          <w:rFonts w:cstheme="minorHAnsi"/>
          <w:i/>
          <w:iCs/>
          <w:color w:val="222222"/>
          <w:sz w:val="22"/>
        </w:rPr>
        <w:t> </w:t>
      </w:r>
      <w:r>
        <w:rPr>
          <w:rFonts w:cstheme="minorHAnsi"/>
          <w:color w:val="222222"/>
          <w:sz w:val="22"/>
        </w:rPr>
        <w:t>punkt 4.2 </w:t>
      </w:r>
      <w:r>
        <w:rPr>
          <w:rFonts w:cstheme="minorHAnsi"/>
          <w:i/>
          <w:iCs/>
          <w:color w:val="222222"/>
          <w:sz w:val="22"/>
        </w:rPr>
        <w:t>Dawkowanie i sposób podania), </w:t>
      </w:r>
      <w:r>
        <w:rPr>
          <w:rFonts w:cstheme="minorHAnsi"/>
          <w:color w:val="222222"/>
          <w:sz w:val="22"/>
        </w:rPr>
        <w:t>zawarte w Charakterystyce Produktu Leczniczego?</w:t>
      </w:r>
    </w:p>
    <w:p w14:paraId="1663AD91" w14:textId="77777777" w:rsidR="002C0C68" w:rsidRDefault="002C0C68" w:rsidP="002C0C68">
      <w:pPr>
        <w:ind w:left="360" w:right="283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Informacje zawarte w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ChPL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są jedynym wiążącym kryterium medycznym, co do zastosowania produktu leczniczego, </w:t>
      </w:r>
      <w:r>
        <w:rPr>
          <w:rFonts w:ascii="Calibri" w:hAnsi="Calibri" w:cs="Calibri"/>
          <w:color w:val="222222"/>
          <w:sz w:val="22"/>
          <w:szCs w:val="22"/>
          <w:u w:val="single"/>
        </w:rPr>
        <w:t>opartym na badaniach klinicznych</w:t>
      </w:r>
      <w:r>
        <w:rPr>
          <w:rFonts w:ascii="Calibri" w:hAnsi="Calibri" w:cs="Calibri"/>
          <w:color w:val="222222"/>
          <w:sz w:val="22"/>
          <w:szCs w:val="22"/>
        </w:rPr>
        <w:t xml:space="preserve"> i zawierają zamknięty katalog wskazań do stosowania. Wagę zapisów zawartych w charakterystyce produktu leczniczego oraz braku ich swobodnej interpretacji podkreśla również w orzecznictwo- wyrok KIO z dn. 1.06.2012 sygn. 1004/12. Jeżeli ogólnie dostępne są produkty lecznicze posiadające rejestrację we wskazaniach, w których mają być użyte, niedopuszczalna jest zamiana na inne produkty lecznicze, które nie posiadają rejestracji w danym wskazaniu. Działanie tego rodzaju należy identyfikować z eksperymentem medycznym w rozumieniu Ustawy o zawodach lekarza i lekarza dentysty </w:t>
      </w:r>
      <w:r>
        <w:rPr>
          <w:rFonts w:ascii="Calibri" w:hAnsi="Calibri" w:cs="Calibri"/>
          <w:color w:val="222222"/>
          <w:sz w:val="22"/>
          <w:szCs w:val="22"/>
        </w:rPr>
        <w:tab/>
        <w:t>z 05.12.1996 ze zmianami, Dz. Ustaw z 2011r. nr 277 poz. 1634.</w:t>
      </w:r>
    </w:p>
    <w:p w14:paraId="0906413C" w14:textId="77777777" w:rsidR="002C0C68" w:rsidRDefault="002C0C68" w:rsidP="002C0C68">
      <w:pPr>
        <w:ind w:right="283" w:firstLine="3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Prosimy o skonsultowanie powyższego pytania z Kierownikiem Apteki Szpitalnej.</w:t>
      </w:r>
    </w:p>
    <w:p w14:paraId="1D37B716" w14:textId="77777777" w:rsidR="002C0C68" w:rsidRDefault="002C0C68" w:rsidP="002C0C68">
      <w:pPr>
        <w:tabs>
          <w:tab w:val="left" w:pos="567"/>
        </w:tabs>
        <w:ind w:right="283"/>
        <w:rPr>
          <w:rFonts w:cstheme="minorHAnsi"/>
          <w:b/>
          <w:sz w:val="22"/>
        </w:rPr>
      </w:pPr>
      <w:r w:rsidRPr="002C0C68">
        <w:rPr>
          <w:rFonts w:cstheme="minorHAnsi"/>
          <w:b/>
          <w:sz w:val="22"/>
        </w:rPr>
        <w:t>Odp.:  Zgodnie z zapytaniem ofertowym.</w:t>
      </w:r>
    </w:p>
    <w:p w14:paraId="5F7B5757" w14:textId="77777777" w:rsidR="002C0C68" w:rsidRPr="002C0C68" w:rsidRDefault="002C0C68" w:rsidP="002C0C68">
      <w:pPr>
        <w:pStyle w:val="Akapitzlist"/>
        <w:numPr>
          <w:ilvl w:val="0"/>
          <w:numId w:val="6"/>
        </w:numPr>
        <w:tabs>
          <w:tab w:val="left" w:pos="567"/>
        </w:tabs>
        <w:ind w:right="-1"/>
        <w:rPr>
          <w:rFonts w:cs="Times New Roman"/>
          <w:b/>
          <w:sz w:val="22"/>
          <w:szCs w:val="22"/>
        </w:rPr>
      </w:pPr>
      <w:r w:rsidRPr="002C0C68">
        <w:rPr>
          <w:rFonts w:cs="Times New Roman"/>
          <w:b/>
          <w:sz w:val="22"/>
          <w:szCs w:val="22"/>
        </w:rPr>
        <w:t>Pytanie 3</w:t>
      </w:r>
    </w:p>
    <w:p w14:paraId="3012AFAE" w14:textId="0DFDCA18" w:rsidR="002C0C68" w:rsidRDefault="002C0C68" w:rsidP="002C0C68">
      <w:pPr>
        <w:ind w:left="360" w:right="283"/>
        <w:jc w:val="both"/>
        <w:rPr>
          <w:rFonts w:cstheme="minorHAnsi"/>
          <w:sz w:val="22"/>
          <w:szCs w:val="22"/>
        </w:rPr>
      </w:pPr>
      <w:r w:rsidRPr="005010FF">
        <w:rPr>
          <w:rFonts w:cstheme="minorHAnsi"/>
          <w:sz w:val="22"/>
          <w:szCs w:val="22"/>
        </w:rPr>
        <w:t>Czy dla zapewnienia pacjentkom bezpieczeństwa mikrobiologicznego Zamawiający wymaga zaoferowania</w:t>
      </w:r>
      <w:r>
        <w:rPr>
          <w:rFonts w:cstheme="minorHAnsi"/>
          <w:sz w:val="22"/>
          <w:szCs w:val="22"/>
        </w:rPr>
        <w:t xml:space="preserve"> </w:t>
      </w:r>
      <w:r w:rsidRPr="005010FF">
        <w:rPr>
          <w:rFonts w:cstheme="minorHAnsi"/>
          <w:sz w:val="22"/>
          <w:szCs w:val="22"/>
        </w:rPr>
        <w:t xml:space="preserve">jednorazowych wyrobów medycznych: ustników z filtrem kierunkowym o </w:t>
      </w:r>
      <w:r w:rsidRPr="005010FF">
        <w:rPr>
          <w:rFonts w:cstheme="minorHAnsi"/>
          <w:sz w:val="22"/>
          <w:szCs w:val="22"/>
        </w:rPr>
        <w:lastRenderedPageBreak/>
        <w:t>określonej skuteczności filtracji</w:t>
      </w:r>
      <w:r>
        <w:rPr>
          <w:rFonts w:cstheme="minorHAnsi"/>
          <w:sz w:val="22"/>
          <w:szCs w:val="22"/>
        </w:rPr>
        <w:t xml:space="preserve"> </w:t>
      </w:r>
      <w:r w:rsidRPr="005010FF">
        <w:rPr>
          <w:rFonts w:cstheme="minorHAnsi"/>
          <w:sz w:val="22"/>
          <w:szCs w:val="22"/>
        </w:rPr>
        <w:t>bakteryjnej oraz filtracji wirusowej nie mniejszej niż 99,999% i potwierdzenia tego parametru oświadczeniem</w:t>
      </w:r>
      <w:r>
        <w:rPr>
          <w:rFonts w:cstheme="minorHAnsi"/>
          <w:sz w:val="22"/>
          <w:szCs w:val="22"/>
        </w:rPr>
        <w:t xml:space="preserve"> producenta lub kartą produktu?</w:t>
      </w:r>
    </w:p>
    <w:p w14:paraId="6A22F45E" w14:textId="77777777" w:rsidR="001423C9" w:rsidRPr="001423C9" w:rsidRDefault="001423C9" w:rsidP="001423C9">
      <w:pPr>
        <w:ind w:right="283"/>
        <w:jc w:val="both"/>
        <w:rPr>
          <w:rFonts w:cstheme="minorHAnsi"/>
          <w:b/>
          <w:sz w:val="22"/>
          <w:szCs w:val="22"/>
        </w:rPr>
      </w:pPr>
      <w:r w:rsidRPr="001423C9">
        <w:rPr>
          <w:rFonts w:cstheme="minorHAnsi"/>
          <w:b/>
          <w:sz w:val="22"/>
          <w:szCs w:val="22"/>
        </w:rPr>
        <w:t>Odp.: Zamawiający dopuszcza.</w:t>
      </w:r>
    </w:p>
    <w:p w14:paraId="5A872129" w14:textId="77777777" w:rsidR="002C0C68" w:rsidRPr="002C0C68" w:rsidRDefault="002C0C68" w:rsidP="002C0C68">
      <w:pPr>
        <w:pStyle w:val="Akapitzlist"/>
        <w:numPr>
          <w:ilvl w:val="0"/>
          <w:numId w:val="6"/>
        </w:numPr>
        <w:tabs>
          <w:tab w:val="left" w:pos="567"/>
        </w:tabs>
        <w:ind w:right="-1"/>
        <w:rPr>
          <w:rFonts w:cs="Times New Roman"/>
          <w:b/>
          <w:sz w:val="22"/>
          <w:szCs w:val="22"/>
        </w:rPr>
      </w:pPr>
      <w:r w:rsidRPr="002C0C68">
        <w:rPr>
          <w:rFonts w:cs="Times New Roman"/>
          <w:b/>
          <w:sz w:val="22"/>
          <w:szCs w:val="22"/>
        </w:rPr>
        <w:t>Pytanie 4</w:t>
      </w:r>
    </w:p>
    <w:p w14:paraId="26211C8A" w14:textId="3F8EDC27" w:rsidR="002C0C68" w:rsidRPr="005010FF" w:rsidRDefault="002C0C68" w:rsidP="001423C9">
      <w:pPr>
        <w:ind w:left="360" w:right="283"/>
        <w:jc w:val="both"/>
        <w:rPr>
          <w:rFonts w:cstheme="minorHAnsi"/>
          <w:sz w:val="22"/>
          <w:szCs w:val="22"/>
        </w:rPr>
      </w:pPr>
      <w:r w:rsidRPr="005010FF">
        <w:rPr>
          <w:rFonts w:cstheme="minorHAnsi"/>
          <w:sz w:val="22"/>
          <w:szCs w:val="22"/>
        </w:rPr>
        <w:t>Czy Zamawiający dopuści zaoferowanie zaworu dozującego zintegrowanego z zaworem wydechowym</w:t>
      </w:r>
      <w:r>
        <w:rPr>
          <w:rFonts w:cstheme="minorHAnsi"/>
          <w:sz w:val="22"/>
          <w:szCs w:val="22"/>
        </w:rPr>
        <w:t xml:space="preserve">  i </w:t>
      </w:r>
      <w:r w:rsidRPr="005010FF">
        <w:rPr>
          <w:rFonts w:cstheme="minorHAnsi"/>
          <w:sz w:val="22"/>
          <w:szCs w:val="22"/>
        </w:rPr>
        <w:t>tworzącego ze standardowymi, jednorazowymi wyrobami medycznymi (filtr i ustnik) bezpieczny układ</w:t>
      </w:r>
      <w:r w:rsidR="001423C9">
        <w:rPr>
          <w:rFonts w:cstheme="minorHAnsi"/>
          <w:sz w:val="22"/>
          <w:szCs w:val="22"/>
        </w:rPr>
        <w:t xml:space="preserve"> </w:t>
      </w:r>
      <w:r w:rsidRPr="005010FF">
        <w:rPr>
          <w:rFonts w:cstheme="minorHAnsi"/>
          <w:sz w:val="22"/>
          <w:szCs w:val="22"/>
        </w:rPr>
        <w:t>niepozwalający na powrót wydychanego powietrza do zaworu dozującego i tworzący z wnętrza zaworu tzw.</w:t>
      </w:r>
      <w:r w:rsidR="001423C9">
        <w:rPr>
          <w:rFonts w:cstheme="minorHAnsi"/>
          <w:sz w:val="22"/>
          <w:szCs w:val="22"/>
        </w:rPr>
        <w:t xml:space="preserve"> </w:t>
      </w:r>
      <w:r w:rsidRPr="00A61989">
        <w:rPr>
          <w:rFonts w:cstheme="minorHAnsi"/>
          <w:b/>
          <w:sz w:val="22"/>
          <w:szCs w:val="22"/>
        </w:rPr>
        <w:t>strefę bezdotykową</w:t>
      </w:r>
      <w:r w:rsidRPr="005010FF">
        <w:rPr>
          <w:rFonts w:cstheme="minorHAnsi"/>
          <w:sz w:val="22"/>
          <w:szCs w:val="22"/>
        </w:rPr>
        <w:t>, niewymagającą dezynfekcji, zabezpieczoną przed przypadkową ingerencją?</w:t>
      </w:r>
    </w:p>
    <w:p w14:paraId="5DB8948C" w14:textId="61254D61" w:rsidR="002C0C68" w:rsidRDefault="002C0C68" w:rsidP="001423C9">
      <w:pPr>
        <w:ind w:left="360" w:right="283"/>
        <w:jc w:val="both"/>
        <w:rPr>
          <w:rFonts w:cstheme="minorHAnsi"/>
          <w:sz w:val="22"/>
          <w:szCs w:val="22"/>
        </w:rPr>
      </w:pPr>
      <w:r w:rsidRPr="005010FF">
        <w:rPr>
          <w:rFonts w:cstheme="minorHAnsi"/>
          <w:sz w:val="22"/>
          <w:szCs w:val="22"/>
        </w:rPr>
        <w:t xml:space="preserve">„- </w:t>
      </w:r>
      <w:r w:rsidRPr="00A61989">
        <w:rPr>
          <w:rFonts w:cstheme="minorHAnsi"/>
          <w:b/>
          <w:sz w:val="22"/>
          <w:szCs w:val="22"/>
        </w:rPr>
        <w:t>strefa bezdotykowa</w:t>
      </w:r>
      <w:r w:rsidRPr="005010FF">
        <w:rPr>
          <w:rFonts w:cstheme="minorHAnsi"/>
          <w:sz w:val="22"/>
          <w:szCs w:val="22"/>
        </w:rPr>
        <w:t xml:space="preserve"> – obejmuje wszystkie powierzchnie, które nie mają bezpo</w:t>
      </w:r>
      <w:r>
        <w:rPr>
          <w:rFonts w:cstheme="minorHAnsi"/>
          <w:sz w:val="22"/>
          <w:szCs w:val="22"/>
        </w:rPr>
        <w:t xml:space="preserve">średniego (za pośrednictwem rąk </w:t>
      </w:r>
      <w:r w:rsidRPr="005010FF">
        <w:rPr>
          <w:rFonts w:cstheme="minorHAnsi"/>
          <w:sz w:val="22"/>
          <w:szCs w:val="22"/>
        </w:rPr>
        <w:t>personelu, pacjentów oraz sprzętu medycznego) kontaktu z pacjentem (m.in. podłogi, ściany, okna); ryzyko</w:t>
      </w:r>
      <w:r w:rsidR="001423C9">
        <w:rPr>
          <w:rFonts w:cstheme="minorHAnsi"/>
          <w:sz w:val="22"/>
          <w:szCs w:val="22"/>
        </w:rPr>
        <w:t xml:space="preserve"> </w:t>
      </w:r>
      <w:r w:rsidRPr="005010FF">
        <w:rPr>
          <w:rFonts w:cstheme="minorHAnsi"/>
          <w:sz w:val="22"/>
          <w:szCs w:val="22"/>
        </w:rPr>
        <w:t>kontaminacji tych obszarów jest niewielkie oraz przeniesienia na pacjenta znajdującego się na powierzchni</w:t>
      </w:r>
      <w:r>
        <w:rPr>
          <w:rFonts w:cstheme="minorHAnsi"/>
          <w:sz w:val="22"/>
          <w:szCs w:val="22"/>
        </w:rPr>
        <w:t xml:space="preserve"> </w:t>
      </w:r>
      <w:r w:rsidR="001423C9">
        <w:rPr>
          <w:rFonts w:cstheme="minorHAnsi"/>
          <w:sz w:val="22"/>
          <w:szCs w:val="22"/>
        </w:rPr>
        <w:t>ewentualnego zanieczyszczenia”.</w:t>
      </w:r>
    </w:p>
    <w:p w14:paraId="6F167194" w14:textId="4B1037D2" w:rsidR="001423C9" w:rsidRPr="001423C9" w:rsidRDefault="001423C9" w:rsidP="001423C9">
      <w:pPr>
        <w:ind w:right="283"/>
        <w:jc w:val="both"/>
        <w:rPr>
          <w:rFonts w:cstheme="minorHAnsi"/>
          <w:b/>
          <w:sz w:val="22"/>
          <w:szCs w:val="22"/>
        </w:rPr>
      </w:pPr>
      <w:r w:rsidRPr="001423C9">
        <w:rPr>
          <w:rFonts w:cstheme="minorHAnsi"/>
          <w:b/>
          <w:sz w:val="22"/>
          <w:szCs w:val="22"/>
        </w:rPr>
        <w:t>Odp.: Zamawiający dopuszcza.</w:t>
      </w:r>
    </w:p>
    <w:p w14:paraId="476C8AE9" w14:textId="77777777" w:rsidR="002C0C68" w:rsidRPr="001423C9" w:rsidRDefault="002C0C68" w:rsidP="001423C9">
      <w:pPr>
        <w:pStyle w:val="Akapitzlist"/>
        <w:numPr>
          <w:ilvl w:val="0"/>
          <w:numId w:val="6"/>
        </w:numPr>
        <w:tabs>
          <w:tab w:val="left" w:pos="567"/>
        </w:tabs>
        <w:ind w:right="-1"/>
        <w:rPr>
          <w:rFonts w:cs="Times New Roman"/>
          <w:b/>
          <w:sz w:val="22"/>
          <w:szCs w:val="22"/>
        </w:rPr>
      </w:pPr>
      <w:r w:rsidRPr="001423C9">
        <w:rPr>
          <w:rFonts w:cs="Times New Roman"/>
          <w:b/>
          <w:sz w:val="22"/>
          <w:szCs w:val="22"/>
        </w:rPr>
        <w:t>Pytanie 5</w:t>
      </w:r>
    </w:p>
    <w:p w14:paraId="3D9C65B3" w14:textId="60607FAF" w:rsidR="002C0C68" w:rsidRPr="009019E7" w:rsidRDefault="002C0C68" w:rsidP="001423C9">
      <w:pPr>
        <w:ind w:left="360" w:right="283"/>
        <w:rPr>
          <w:rFonts w:cstheme="minorHAnsi"/>
          <w:sz w:val="22"/>
          <w:szCs w:val="22"/>
        </w:rPr>
      </w:pPr>
      <w:r w:rsidRPr="009019E7">
        <w:rPr>
          <w:rFonts w:cstheme="minorHAnsi"/>
          <w:sz w:val="22"/>
          <w:szCs w:val="22"/>
        </w:rPr>
        <w:t>Czy w trosce o bezpieczeństwo pacjentek podczas porodu, Zamawiający wymaga zaoferowania zaworu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gwarantującego bezpieczeństwo mikrobiologiczne, czyli możliwość dezynfekcji jego zewnętrznych powierzchni,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zgodnie z procedurami szpitalnymi (Plan Higieny Szpitalnej). Zawór do</w:t>
      </w:r>
      <w:r>
        <w:rPr>
          <w:rFonts w:cstheme="minorHAnsi"/>
          <w:sz w:val="22"/>
          <w:szCs w:val="22"/>
        </w:rPr>
        <w:t xml:space="preserve">zujący jest tzw. </w:t>
      </w:r>
      <w:r w:rsidRPr="00A61989">
        <w:rPr>
          <w:rFonts w:cstheme="minorHAnsi"/>
          <w:b/>
          <w:sz w:val="22"/>
          <w:szCs w:val="22"/>
        </w:rPr>
        <w:t>strefą dotykową</w:t>
      </w:r>
      <w:r w:rsidRPr="009019E7">
        <w:rPr>
          <w:rFonts w:cstheme="minorHAnsi"/>
          <w:sz w:val="22"/>
          <w:szCs w:val="22"/>
        </w:rPr>
        <w:t xml:space="preserve"> </w:t>
      </w:r>
      <w:r w:rsidR="001423C9">
        <w:rPr>
          <w:rFonts w:cstheme="minorHAnsi"/>
          <w:sz w:val="22"/>
          <w:szCs w:val="22"/>
        </w:rPr>
        <w:t>–</w:t>
      </w:r>
      <w:r w:rsidRPr="009019E7">
        <w:rPr>
          <w:rFonts w:cstheme="minorHAnsi"/>
          <w:sz w:val="22"/>
          <w:szCs w:val="22"/>
        </w:rPr>
        <w:t xml:space="preserve"> czyli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podlegającą dezynfekcji.</w:t>
      </w:r>
    </w:p>
    <w:p w14:paraId="71F487FC" w14:textId="5C29CD72" w:rsidR="002C0C68" w:rsidRDefault="002C0C68" w:rsidP="001423C9">
      <w:pPr>
        <w:ind w:left="360" w:right="283"/>
        <w:rPr>
          <w:rFonts w:cstheme="minorHAnsi"/>
          <w:sz w:val="22"/>
          <w:szCs w:val="22"/>
        </w:rPr>
      </w:pPr>
      <w:r w:rsidRPr="009019E7">
        <w:rPr>
          <w:rFonts w:cstheme="minorHAnsi"/>
          <w:sz w:val="22"/>
          <w:szCs w:val="22"/>
        </w:rPr>
        <w:t xml:space="preserve">„- </w:t>
      </w:r>
      <w:r w:rsidRPr="00A61989">
        <w:rPr>
          <w:rFonts w:cstheme="minorHAnsi"/>
          <w:b/>
          <w:sz w:val="22"/>
          <w:szCs w:val="22"/>
        </w:rPr>
        <w:t>strefa dotykowa</w:t>
      </w:r>
      <w:r w:rsidRPr="009019E7">
        <w:rPr>
          <w:rFonts w:cstheme="minorHAnsi"/>
          <w:sz w:val="22"/>
          <w:szCs w:val="22"/>
        </w:rPr>
        <w:t xml:space="preserve"> - obejmuje wszystkie powierzchnie, z którymi pacjent i personel kontaktują się często, ale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które nie zostały skażone biologicznym materiałem ludzkim; z uwagi na częsty kontakt za pośrednictwem rąk lub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sprzętu medycznego ryzyko kontaminacji tych obszarów jest duże oraz przeniesienie znajdującego się na tych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powierzchniach zanieczyszczenia na każdą kontaktującą się z nimi osobę (m.in. klamki, uchwyty, kontakty,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słuchawki telefoniczne, poręcze krzeseł, blaty robocze, strefa wokół umywalki”.</w:t>
      </w:r>
    </w:p>
    <w:p w14:paraId="7D3F6B5F" w14:textId="77777777" w:rsidR="001423C9" w:rsidRPr="001423C9" w:rsidRDefault="001423C9" w:rsidP="001423C9">
      <w:pPr>
        <w:ind w:right="283"/>
        <w:jc w:val="both"/>
        <w:rPr>
          <w:rFonts w:cstheme="minorHAnsi"/>
          <w:b/>
          <w:sz w:val="22"/>
          <w:szCs w:val="22"/>
        </w:rPr>
      </w:pPr>
      <w:r w:rsidRPr="001423C9">
        <w:rPr>
          <w:rFonts w:cstheme="minorHAnsi"/>
          <w:b/>
          <w:sz w:val="22"/>
          <w:szCs w:val="22"/>
        </w:rPr>
        <w:t>Odp.: Zamawiający dopuszcza.</w:t>
      </w:r>
    </w:p>
    <w:p w14:paraId="4D11CC5A" w14:textId="77777777" w:rsidR="002C0C68" w:rsidRPr="001423C9" w:rsidRDefault="002C0C68" w:rsidP="001423C9">
      <w:pPr>
        <w:pStyle w:val="Akapitzlist"/>
        <w:numPr>
          <w:ilvl w:val="0"/>
          <w:numId w:val="6"/>
        </w:numPr>
        <w:tabs>
          <w:tab w:val="left" w:pos="567"/>
        </w:tabs>
        <w:ind w:right="-1"/>
        <w:rPr>
          <w:rFonts w:cs="Times New Roman"/>
          <w:b/>
          <w:sz w:val="22"/>
          <w:szCs w:val="22"/>
        </w:rPr>
      </w:pPr>
      <w:r w:rsidRPr="001423C9">
        <w:rPr>
          <w:rFonts w:cs="Times New Roman"/>
          <w:b/>
          <w:sz w:val="22"/>
          <w:szCs w:val="22"/>
        </w:rPr>
        <w:t>Pytanie 6</w:t>
      </w:r>
    </w:p>
    <w:p w14:paraId="7A1A76F5" w14:textId="11D74A13" w:rsidR="002C0C68" w:rsidRDefault="002C0C68" w:rsidP="001423C9">
      <w:pPr>
        <w:ind w:left="360" w:right="283"/>
        <w:jc w:val="both"/>
        <w:rPr>
          <w:rFonts w:cstheme="minorHAnsi"/>
          <w:sz w:val="22"/>
          <w:szCs w:val="22"/>
        </w:rPr>
      </w:pPr>
      <w:r w:rsidRPr="009019E7">
        <w:rPr>
          <w:rFonts w:cstheme="minorHAnsi"/>
          <w:sz w:val="22"/>
          <w:szCs w:val="22"/>
        </w:rPr>
        <w:t>Czy mając na uwadze bezpieczeństwo pacjentek podczas porodu, Zamawiający dopuści zaoferowania zaworu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dozującego, którego wnętrze tworzy tzw. strefę bezdotykową, czyli nie wymaga ingerencji w jego strukturę, ale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producent przewidział możliwość dezynfekcji lub sterylizacji zaworu w przypadku podejrzenia jego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kontaminacji zgodnie z Procedurą dezynfekcji powierzchni skażonych materiałem organicznym i zawarł takie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informacje w instrukcji obsługi, a zawór jest zabezpieczony przed przypadkową ingerencją osób</w:t>
      </w:r>
      <w:r w:rsidR="001423C9">
        <w:rPr>
          <w:rFonts w:cstheme="minorHAnsi"/>
          <w:sz w:val="22"/>
          <w:szCs w:val="22"/>
        </w:rPr>
        <w:t xml:space="preserve"> </w:t>
      </w:r>
      <w:r w:rsidRPr="009019E7">
        <w:rPr>
          <w:rFonts w:cstheme="minorHAnsi"/>
          <w:sz w:val="22"/>
          <w:szCs w:val="22"/>
        </w:rPr>
        <w:t>nieuprawnionych.</w:t>
      </w:r>
    </w:p>
    <w:p w14:paraId="04625508" w14:textId="783943CC" w:rsidR="008F56C7" w:rsidRPr="009D3401" w:rsidRDefault="001423C9" w:rsidP="002631D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Odp.:  Zamawiający wymaga, aby poza elementami jednorazowymi, zawór dozujący był jednoelementowy i nierozbieralny. Zamawiający wymaga, aby w trakcie realizacji umowy zawór dozujący nie wymagał ingerencji w jego strukturę (rozkręcanie, dezynfekcja, czyszczenie).</w:t>
      </w:r>
    </w:p>
    <w:p w14:paraId="72B63932" w14:textId="77777777" w:rsidR="00194CB8" w:rsidRPr="00194CB8" w:rsidRDefault="00194CB8" w:rsidP="00194CB8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CB8">
        <w:rPr>
          <w:rFonts w:eastAsia="Times New Roman" w:cs="Times New Roman"/>
          <w:b/>
          <w:sz w:val="22"/>
          <w:szCs w:val="22"/>
          <w:lang w:eastAsia="pl-PL"/>
        </w:rPr>
        <w:t>PYTANIE 1:</w:t>
      </w:r>
    </w:p>
    <w:p w14:paraId="53BD1AA4" w14:textId="77777777" w:rsidR="00194CB8" w:rsidRPr="00194CB8" w:rsidRDefault="00194CB8" w:rsidP="00194CB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94CB8">
        <w:rPr>
          <w:rFonts w:eastAsia="Times New Roman" w:cs="Times New Roman"/>
          <w:sz w:val="22"/>
          <w:szCs w:val="22"/>
          <w:lang w:eastAsia="pl-PL"/>
        </w:rPr>
        <w:t>Czy Zamawiający wymaga, aby możliwe było podawanie leku w postaci mieszaniny gazowej 50 % tlen i 50% podtlenek azotu do 6 godzin bez konieczności kontrolowania morfologii krwi w oparciu o odpowiednie zapisy zamieszczone w Charakterystyce Produktu Leczniczego, którą Wykonawca winien dołączyć do oferty?</w:t>
      </w:r>
    </w:p>
    <w:p w14:paraId="18B3D993" w14:textId="50453C8E" w:rsidR="00194CB8" w:rsidRPr="00194CB8" w:rsidRDefault="00194CB8" w:rsidP="00194CB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BA05DE">
        <w:rPr>
          <w:rFonts w:eastAsia="Times New Roman" w:cs="Times New Roman"/>
          <w:b/>
          <w:sz w:val="22"/>
          <w:szCs w:val="22"/>
          <w:lang w:eastAsia="pl-PL"/>
        </w:rPr>
        <w:t>Zamawiający wymaga wykonywania badań morfologii co 6 godzin.</w:t>
      </w:r>
    </w:p>
    <w:p w14:paraId="46AEA7A1" w14:textId="77777777" w:rsidR="00194CB8" w:rsidRPr="00194CB8" w:rsidRDefault="00194CB8" w:rsidP="00194CB8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CB8">
        <w:rPr>
          <w:rFonts w:eastAsia="Times New Roman" w:cs="Times New Roman"/>
          <w:b/>
          <w:sz w:val="22"/>
          <w:szCs w:val="22"/>
          <w:lang w:eastAsia="pl-PL"/>
        </w:rPr>
        <w:t>PYTANIE 2:</w:t>
      </w:r>
    </w:p>
    <w:p w14:paraId="3561B36A" w14:textId="77777777" w:rsidR="00194CB8" w:rsidRPr="00194CB8" w:rsidRDefault="00194CB8" w:rsidP="00194CB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94CB8">
        <w:rPr>
          <w:rFonts w:eastAsia="Times New Roman" w:cs="Times New Roman"/>
          <w:sz w:val="22"/>
          <w:szCs w:val="22"/>
          <w:lang w:eastAsia="pl-PL"/>
        </w:rPr>
        <w:t>Czy Zamawiający wymaga, aby korpus zaworu dozującego  był nierozbieralny, tzn. nie było w nim elementów które pacjent może samowolnie usunąć i stworzyć dla siebie potencjalne zagrożenie i na potwierdzenie tego Wykonawca winien dołączyć do oferty instrukcję obsługi producenta?</w:t>
      </w:r>
    </w:p>
    <w:p w14:paraId="002CC0E1" w14:textId="520C0A69" w:rsidR="00194CB8" w:rsidRPr="00194CB8" w:rsidRDefault="00194CB8" w:rsidP="00194CB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lastRenderedPageBreak/>
        <w:t>Odp.:</w:t>
      </w:r>
      <w:r w:rsidR="00BA05DE">
        <w:rPr>
          <w:rFonts w:eastAsia="Times New Roman" w:cs="Times New Roman"/>
          <w:b/>
          <w:sz w:val="22"/>
          <w:szCs w:val="22"/>
          <w:lang w:eastAsia="pl-PL"/>
        </w:rPr>
        <w:t xml:space="preserve"> Zamawiający wymaga, aby korpus zaworu dozującego był nierozbieralny.</w:t>
      </w:r>
    </w:p>
    <w:p w14:paraId="4FF02345" w14:textId="77777777" w:rsidR="00194CB8" w:rsidRPr="00194CB8" w:rsidRDefault="00194CB8" w:rsidP="00194CB8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CB8">
        <w:rPr>
          <w:rFonts w:eastAsia="Times New Roman" w:cs="Times New Roman"/>
          <w:b/>
          <w:sz w:val="22"/>
          <w:szCs w:val="22"/>
          <w:lang w:eastAsia="pl-PL"/>
        </w:rPr>
        <w:t>PYTANIE 3:</w:t>
      </w:r>
    </w:p>
    <w:p w14:paraId="4A85FC5D" w14:textId="77777777" w:rsidR="00194CB8" w:rsidRPr="00194CB8" w:rsidRDefault="00194CB8" w:rsidP="00194CB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94CB8">
        <w:rPr>
          <w:rFonts w:eastAsia="Times New Roman" w:cs="Times New Roman"/>
          <w:sz w:val="22"/>
          <w:szCs w:val="22"/>
          <w:lang w:eastAsia="pl-PL"/>
        </w:rPr>
        <w:t>Czy Zamawiający dopuszcza możliwość dostarczenia razem z dostawą dowodu dostawy butli i późniejsze dosłanie faktury VAT?</w:t>
      </w:r>
    </w:p>
    <w:p w14:paraId="112F4C09" w14:textId="77777777" w:rsidR="00194CB8" w:rsidRPr="00194CB8" w:rsidRDefault="00194CB8" w:rsidP="00194CB8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94CB8">
        <w:rPr>
          <w:rFonts w:eastAsia="Times New Roman" w:cs="Times New Roman"/>
          <w:sz w:val="22"/>
          <w:szCs w:val="22"/>
          <w:lang w:eastAsia="pl-PL"/>
        </w:rPr>
        <w:t>Istnieje również możliwość wystawienia faktury elektronicznej.</w:t>
      </w:r>
    </w:p>
    <w:p w14:paraId="18EB4973" w14:textId="32F84A44" w:rsidR="00A20E60" w:rsidRPr="00BA05DE" w:rsidRDefault="00194CB8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CB8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BA05DE" w:rsidRPr="00BA05DE">
        <w:rPr>
          <w:rFonts w:eastAsia="Times New Roman" w:cs="Times New Roman"/>
          <w:b/>
          <w:sz w:val="22"/>
          <w:szCs w:val="22"/>
          <w:lang w:eastAsia="pl-PL"/>
        </w:rPr>
        <w:t>Zamawiający dopuszcza możliwość dostarczenia razem z dostawą dowodu dostawy butli i późniejsze dosłanie faktury VAT</w:t>
      </w:r>
      <w:r w:rsidR="00BA05DE" w:rsidRPr="00BA05DE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62183DD9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099F0C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277A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B866F8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C5305C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68122472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0D123E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F818C6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7F4D20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A3BFD29" w14:textId="77777777" w:rsidR="004E08A7" w:rsidRPr="00C11F2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68C979FD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459D23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4E2C37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A70FE7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BDE5C4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C876CE9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269DB0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0204276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467A8E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7C778A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A6C0A8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2DDC22C0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3DD13E5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2350F436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3B5820C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54AFCAD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5D4B5C7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C11F2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C11F2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262C" w14:textId="77777777" w:rsidR="002566EF" w:rsidRDefault="002566EF" w:rsidP="00BB1BD7">
      <w:r>
        <w:separator/>
      </w:r>
    </w:p>
  </w:endnote>
  <w:endnote w:type="continuationSeparator" w:id="0">
    <w:p w14:paraId="09AD4E28" w14:textId="77777777" w:rsidR="002566EF" w:rsidRDefault="002566E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EEE1" w14:textId="77777777" w:rsidR="002566EF" w:rsidRDefault="002566EF" w:rsidP="00BB1BD7">
      <w:r>
        <w:separator/>
      </w:r>
    </w:p>
  </w:footnote>
  <w:footnote w:type="continuationSeparator" w:id="0">
    <w:p w14:paraId="36C645FC" w14:textId="77777777" w:rsidR="002566EF" w:rsidRDefault="002566E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74CC1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E1A3-0F8C-4198-B82B-74B8A454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2019-07-12T11:00:00Z</cp:lastPrinted>
  <dcterms:created xsi:type="dcterms:W3CDTF">2017-07-04T08:34:00Z</dcterms:created>
  <dcterms:modified xsi:type="dcterms:W3CDTF">2019-07-12T11:00:00Z</dcterms:modified>
</cp:coreProperties>
</file>