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41FFDED3" w:rsidR="00A20E60" w:rsidRPr="00CE29AA" w:rsidRDefault="00A20E60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E04646">
        <w:rPr>
          <w:rFonts w:eastAsia="Times New Roman" w:cs="Times New Roman"/>
          <w:sz w:val="22"/>
          <w:szCs w:val="22"/>
          <w:lang w:eastAsia="pl-PL"/>
        </w:rPr>
        <w:t>1</w:t>
      </w:r>
      <w:r w:rsidR="00174177">
        <w:rPr>
          <w:rFonts w:eastAsia="Times New Roman" w:cs="Times New Roman"/>
          <w:sz w:val="22"/>
          <w:szCs w:val="22"/>
          <w:lang w:eastAsia="pl-PL"/>
        </w:rPr>
        <w:t>7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E04646">
        <w:rPr>
          <w:rFonts w:eastAsia="Times New Roman" w:cs="Times New Roman"/>
          <w:sz w:val="22"/>
          <w:szCs w:val="22"/>
          <w:lang w:eastAsia="pl-PL"/>
        </w:rPr>
        <w:t>sierpnia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2020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B56166B" w14:textId="3CF1448B" w:rsidR="00A20E60" w:rsidRPr="00216E25" w:rsidRDefault="00216E25" w:rsidP="00216E2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Cs/>
          <w:color w:val="000000"/>
          <w:sz w:val="22"/>
          <w:szCs w:val="22"/>
          <w:lang w:eastAsia="pl-PL"/>
        </w:rPr>
        <w:t>EP</w:t>
      </w:r>
      <w:r w:rsidRPr="00216E25">
        <w:rPr>
          <w:rFonts w:eastAsia="Times New Roman" w:cs="Times New Roman"/>
          <w:bCs/>
          <w:color w:val="000000"/>
          <w:sz w:val="22"/>
          <w:szCs w:val="22"/>
          <w:lang w:eastAsia="pl-PL"/>
        </w:rPr>
        <w:t>/</w:t>
      </w:r>
      <w:r w:rsidR="00E04646">
        <w:rPr>
          <w:rFonts w:eastAsia="Times New Roman" w:cs="Times New Roman"/>
          <w:bCs/>
          <w:color w:val="000000"/>
          <w:sz w:val="22"/>
          <w:szCs w:val="22"/>
          <w:lang w:eastAsia="pl-PL"/>
        </w:rPr>
        <w:t>37</w:t>
      </w:r>
      <w:r w:rsidR="0097501D">
        <w:rPr>
          <w:rFonts w:eastAsia="Times New Roman" w:cs="Times New Roman"/>
          <w:bCs/>
          <w:color w:val="000000"/>
          <w:sz w:val="22"/>
          <w:szCs w:val="22"/>
          <w:lang w:eastAsia="pl-PL"/>
        </w:rPr>
        <w:t>/20</w:t>
      </w:r>
      <w:r w:rsidR="006A4820">
        <w:rPr>
          <w:rFonts w:eastAsia="Times New Roman" w:cs="Times New Roman"/>
          <w:bCs/>
          <w:color w:val="000000"/>
          <w:sz w:val="22"/>
          <w:szCs w:val="22"/>
          <w:lang w:eastAsia="pl-PL"/>
        </w:rPr>
        <w:t>20/</w:t>
      </w:r>
      <w:r w:rsidR="003A5B33">
        <w:rPr>
          <w:rFonts w:eastAsia="Times New Roman" w:cs="Times New Roman"/>
          <w:bCs/>
          <w:color w:val="000000"/>
          <w:sz w:val="22"/>
          <w:szCs w:val="22"/>
          <w:lang w:eastAsia="pl-PL"/>
        </w:rPr>
        <w:t>7</w:t>
      </w:r>
      <w:bookmarkStart w:id="0" w:name="_GoBack"/>
      <w:bookmarkEnd w:id="0"/>
    </w:p>
    <w:p w14:paraId="1A09B9A6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0223CC3B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5B6D89B3" w:rsidR="00A20E60" w:rsidRPr="00CE29AA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E29A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WYJAŚNIENIA TREŚCI SIWZ</w:t>
      </w:r>
      <w:r w:rsidR="003A5B33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3</w:t>
      </w:r>
    </w:p>
    <w:p w14:paraId="4C0A832B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C59C0C7" w14:textId="77777777" w:rsidR="00E04646" w:rsidRPr="00E04646" w:rsidRDefault="00A20E60" w:rsidP="00E0464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E29AA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E04646" w:rsidRPr="00E04646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środków dezynfekcyjnych potrzeb Regionalnego Szpitala w Kołobrzegu</w:t>
      </w:r>
    </w:p>
    <w:p w14:paraId="4D651089" w14:textId="775E6BC8" w:rsidR="006A4820" w:rsidRPr="006A4820" w:rsidRDefault="006A4820" w:rsidP="006A482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</w:p>
    <w:p w14:paraId="53FDC898" w14:textId="6FBD0F9D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E04646">
        <w:rPr>
          <w:rFonts w:eastAsia="Times New Roman" w:cs="Times New Roman"/>
          <w:sz w:val="22"/>
          <w:szCs w:val="22"/>
          <w:lang w:eastAsia="pl-PL"/>
        </w:rPr>
        <w:t>1</w:t>
      </w:r>
      <w:r w:rsidR="00174177">
        <w:rPr>
          <w:rFonts w:eastAsia="Times New Roman" w:cs="Times New Roman"/>
          <w:sz w:val="22"/>
          <w:szCs w:val="22"/>
          <w:lang w:eastAsia="pl-PL"/>
        </w:rPr>
        <w:t>7</w:t>
      </w:r>
      <w:r w:rsidR="0097501D">
        <w:rPr>
          <w:rFonts w:eastAsia="Times New Roman" w:cs="Times New Roman"/>
          <w:sz w:val="22"/>
          <w:szCs w:val="22"/>
          <w:lang w:eastAsia="pl-PL"/>
        </w:rPr>
        <w:t>.</w:t>
      </w:r>
      <w:r w:rsidR="006A4820">
        <w:rPr>
          <w:rFonts w:eastAsia="Times New Roman" w:cs="Times New Roman"/>
          <w:sz w:val="22"/>
          <w:szCs w:val="22"/>
          <w:lang w:eastAsia="pl-PL"/>
        </w:rPr>
        <w:t>0</w:t>
      </w:r>
      <w:r w:rsidR="00E04646">
        <w:rPr>
          <w:rFonts w:eastAsia="Times New Roman" w:cs="Times New Roman"/>
          <w:sz w:val="22"/>
          <w:szCs w:val="22"/>
          <w:lang w:eastAsia="pl-PL"/>
        </w:rPr>
        <w:t>8</w:t>
      </w:r>
      <w:r w:rsidR="0097501D">
        <w:rPr>
          <w:rFonts w:eastAsia="Times New Roman" w:cs="Times New Roman"/>
          <w:sz w:val="22"/>
          <w:szCs w:val="22"/>
          <w:lang w:eastAsia="pl-PL"/>
        </w:rPr>
        <w:t>.20</w:t>
      </w:r>
      <w:r w:rsidR="006A4820">
        <w:rPr>
          <w:rFonts w:eastAsia="Times New Roman" w:cs="Times New Roman"/>
          <w:sz w:val="22"/>
          <w:szCs w:val="22"/>
          <w:lang w:eastAsia="pl-PL"/>
        </w:rPr>
        <w:t>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 do Specyfikacji Istotnych Warunków Zamówienia:</w:t>
      </w:r>
    </w:p>
    <w:p w14:paraId="0AC8FC94" w14:textId="77777777" w:rsidR="006A4820" w:rsidRPr="00CE29AA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4D54E76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2 poz. 1 i 2</w:t>
      </w:r>
    </w:p>
    <w:p w14:paraId="662FE213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 xml:space="preserve">Czy Zamawiający wyrazi zgodę na zaoferowanie produktu przebadanego zgodnie z normami:  bakteriobójcze (PN-EN 14561), grzybobójcze PN-EN 14562),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prątkobójcze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(PN-EN 14563), wirusobójcze - łącznie z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Norowirusami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(PN-EN 14476),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sporobójcze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- zgodność preparatów z normą EN 13704) oraz posiadającego Opinię producenta Karl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Storz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zamiast opinii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olympusa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>, spełniającego pozostałe wymagania. Produkt jest obecnie stosowany w placówce Zamawiającego.</w:t>
      </w:r>
    </w:p>
    <w:p w14:paraId="5600F19B" w14:textId="50CDF86B" w:rsidR="003A5B33" w:rsidRPr="003A5B33" w:rsidRDefault="003A5B33" w:rsidP="003A5B3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</w:t>
      </w:r>
      <w:r>
        <w:rPr>
          <w:rFonts w:eastAsia="Times New Roman" w:cs="Times New Roman"/>
          <w:b/>
          <w:sz w:val="22"/>
          <w:szCs w:val="22"/>
          <w:lang w:eastAsia="pl-PL"/>
        </w:rPr>
        <w:t>:</w:t>
      </w:r>
      <w:r w:rsidRPr="003A5B33">
        <w:rPr>
          <w:rFonts w:eastAsia="Times New Roman" w:cs="Times New Roman"/>
          <w:b/>
          <w:sz w:val="22"/>
          <w:szCs w:val="22"/>
          <w:lang w:eastAsia="pl-PL"/>
        </w:rPr>
        <w:t xml:space="preserve"> Preparat może posiadać opinię firmy Karl </w:t>
      </w:r>
      <w:proofErr w:type="spellStart"/>
      <w:r w:rsidRPr="003A5B33">
        <w:rPr>
          <w:rFonts w:eastAsia="Times New Roman" w:cs="Times New Roman"/>
          <w:b/>
          <w:sz w:val="22"/>
          <w:szCs w:val="22"/>
          <w:lang w:eastAsia="pl-PL"/>
        </w:rPr>
        <w:t>Storz</w:t>
      </w:r>
      <w:proofErr w:type="spellEnd"/>
      <w:r w:rsidRPr="003A5B33">
        <w:rPr>
          <w:rFonts w:eastAsia="Times New Roman" w:cs="Times New Roman"/>
          <w:b/>
          <w:sz w:val="22"/>
          <w:szCs w:val="22"/>
          <w:lang w:eastAsia="pl-PL"/>
        </w:rPr>
        <w:t>, pozostałe wymagania - Zgodnie  z SIWZ.</w:t>
      </w:r>
    </w:p>
    <w:p w14:paraId="5AB31642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2 poz. 2</w:t>
      </w:r>
    </w:p>
    <w:p w14:paraId="2369CF26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>Czy nie wystąpiła omyłka pisarska i Zamawiający w szczegółowych wymogach /pod tabelą a nad Kryteriami oceny/ wpisał „Pozycja nr 2” zamiast „Pozycja nr 3”?</w:t>
      </w:r>
    </w:p>
    <w:p w14:paraId="2D3CB13C" w14:textId="5FD1B79F" w:rsidR="003A5B33" w:rsidRPr="003A5B33" w:rsidRDefault="003A5B33" w:rsidP="003A5B33">
      <w:p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</w:t>
      </w:r>
      <w:r>
        <w:rPr>
          <w:rFonts w:eastAsia="Times New Roman" w:cs="Times New Roman"/>
          <w:b/>
          <w:sz w:val="22"/>
          <w:szCs w:val="22"/>
          <w:lang w:eastAsia="pl-PL"/>
        </w:rPr>
        <w:t>:</w:t>
      </w:r>
      <w:r w:rsidRPr="003A5B33">
        <w:rPr>
          <w:rFonts w:eastAsia="Times New Roman" w:cs="Times New Roman"/>
          <w:b/>
          <w:sz w:val="22"/>
          <w:szCs w:val="22"/>
          <w:lang w:eastAsia="pl-PL"/>
        </w:rPr>
        <w:t xml:space="preserve"> Zamawiający w szczegółowych wymogach popełnił ewidentną omyłkę – w tym miejscu powinno być „</w:t>
      </w: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2 poz. 3”</w:t>
      </w:r>
    </w:p>
    <w:p w14:paraId="0E250300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2 poz. 3</w:t>
      </w:r>
    </w:p>
    <w:p w14:paraId="3CF0C887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>Czy Zamawiający wyrazi zgodę na zaoferowanie produktu zawierającego 3 enzymy, spełniającego pozostałe wymagania SIWZ?</w:t>
      </w:r>
    </w:p>
    <w:p w14:paraId="7C49BF5A" w14:textId="7EB4F5A7" w:rsidR="003A5B33" w:rsidRPr="003A5B33" w:rsidRDefault="003A5B33" w:rsidP="003A5B3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</w:t>
      </w:r>
      <w:r>
        <w:rPr>
          <w:rFonts w:eastAsia="Times New Roman" w:cs="Times New Roman"/>
          <w:b/>
          <w:sz w:val="22"/>
          <w:szCs w:val="22"/>
          <w:lang w:eastAsia="pl-PL"/>
        </w:rPr>
        <w:t>:</w:t>
      </w:r>
      <w:r w:rsidRPr="003A5B33">
        <w:rPr>
          <w:rFonts w:eastAsia="Times New Roman" w:cs="Times New Roman"/>
          <w:b/>
          <w:sz w:val="22"/>
          <w:szCs w:val="22"/>
          <w:lang w:eastAsia="pl-PL"/>
        </w:rPr>
        <w:t xml:space="preserve"> Zgodnie  z SIWZ.</w:t>
      </w:r>
    </w:p>
    <w:p w14:paraId="69DE5AC9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4 poz. 2</w:t>
      </w:r>
    </w:p>
    <w:p w14:paraId="124DB294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>Prosimy o wyrażenie zgody na zaoferowanie produktu dopuszczonego do obrotu jako kosmetyk, posiadającego powiadomienie do CPNP, spełniającego pozostałe wymagania SIWZ.</w:t>
      </w:r>
    </w:p>
    <w:p w14:paraId="49C89E46" w14:textId="7F40F62F" w:rsidR="003A5B33" w:rsidRPr="003A5B33" w:rsidRDefault="003A5B33" w:rsidP="003A5B3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</w:t>
      </w:r>
      <w:r>
        <w:rPr>
          <w:rFonts w:eastAsia="Times New Roman" w:cs="Times New Roman"/>
          <w:b/>
          <w:sz w:val="22"/>
          <w:szCs w:val="22"/>
          <w:lang w:eastAsia="pl-PL"/>
        </w:rPr>
        <w:t>:</w:t>
      </w:r>
      <w:r w:rsidRPr="003A5B33">
        <w:rPr>
          <w:rFonts w:eastAsia="Times New Roman" w:cs="Times New Roman"/>
          <w:b/>
          <w:sz w:val="22"/>
          <w:szCs w:val="22"/>
          <w:lang w:eastAsia="pl-PL"/>
        </w:rPr>
        <w:t xml:space="preserve"> Zamawiający wyraża zgodę na zaoferowanie produktu dopuszczonego do obrotu jako kosmetyk, posiadającego powiadomienie do CPNP, pozostałe wymagania zgodne z zapisami SIWZ.</w:t>
      </w:r>
    </w:p>
    <w:p w14:paraId="5635B6C8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nr 5 poz. 1 wiersz 1 i 2</w:t>
      </w:r>
    </w:p>
    <w:p w14:paraId="65B1F750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 xml:space="preserve">Czy Zamawiający wyrazi zgodę na zaoferowanie preparatu w postaci żelu, przeznaczonego do nawilżania i oczyszczania skolonizowanych, skontaminowanych i zakażonych ran przewlekłych z pozostałości tkanek martwiczych,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biofilmu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oraz resztek po opatrunkach, do utrzymania odpowiedniego stopnia nawilżenia w ranie przy równoczesnym stosowaniu wszystkich rodzajów opatrunków, polecanego szczególnie do ran z martwicą suchą i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rozpływną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, do utrzymania idealnego bilansu wilgoci w ranie, zalecanego w ranach ziarninujących i pokrywających się nabłonkiem, rekomendowanego do stosowania w ranach oparzeniowych,  stosowanego do wilgotnej terapii ran chronicznych – głębokich i powierzchniowych, o małym wysięku lub prawie suchych, zalecanego podczas terapii w leczeniu ran przewlekłych, aby wytworzyć idealne warunki do gojenia się rany, preparatu na bazie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octenidyny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>?</w:t>
      </w:r>
    </w:p>
    <w:p w14:paraId="77699E09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 xml:space="preserve">Oferowany przez nas preparat efektywnie nawilża, dekontaminuje i oczyszcza ranę, ułatwia zmianę opatrunków na ranach, tworzy idealne warunki dla procesu gojenia się rany, wspierając naturalne </w:t>
      </w:r>
      <w:r w:rsidRPr="003A5B33">
        <w:rPr>
          <w:rFonts w:eastAsia="Times New Roman" w:cs="Times New Roman"/>
          <w:sz w:val="22"/>
          <w:szCs w:val="22"/>
          <w:lang w:eastAsia="pl-PL"/>
        </w:rPr>
        <w:lastRenderedPageBreak/>
        <w:t xml:space="preserve">procesy naprawcze, zawiera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octenidynę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– substancję inaktywującą patogeny. Nie podrażnia, jest hipoalergiczny, bezbolesny, nie wywołuje toksyczności tkankowej, nie wpływa negatywnie na procesy ziarninowania i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epitelializacji.Aplikacja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jest bezbolesna aplikacja oraz preparat jest doskonale tolerowany przez ranę, błony śluzowe i skórę. Preparat można stosować do 6 tygodni od momentu pierwszego użycia. Preparat jest bezbarwny oraz bezwonny. Wyrób medyczny klasy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IIb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>, w pojemnikach a 20ml z harmonijką ułatwiającą dozowanie preparatu, z odpowiednim przeliczeniem ilości opakowań (wiersz 1) i 250ml (wiersz 2)?</w:t>
      </w:r>
    </w:p>
    <w:p w14:paraId="29E0C7A4" w14:textId="77777777" w:rsidR="003A5B33" w:rsidRPr="003A5B33" w:rsidRDefault="003A5B33" w:rsidP="003A5B3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 Zgodnie  z SIWZ.</w:t>
      </w:r>
    </w:p>
    <w:p w14:paraId="50E94DF6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nr 5 poz. 1 wiersz 3 i 4</w:t>
      </w:r>
    </w:p>
    <w:p w14:paraId="2160A711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 xml:space="preserve">Czy Zamawiający wyrazi zgodę na zaoferowanie preparatu w płynie, gotowego do użycia, szybko i skuteczne oczyszczającego rany, docierającego w trudno dostępne obszary rany (kieszonki, wgłębienia), usuwającego skrzepy składające się z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biofilmu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bakteryjnego, powłok fibrynowych i znekrotyzowanej tkanki, nawilżającego ranę i wytwarzającego idealne warunki dla jej gojenia, utrzymującego wilgoć opatrunków, zapewniającego bezbolesne i delikatne zdejmowanie opatrunków przyschniętych lub pokrytych skrzepem, preparatu na bazie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octenidyny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? Dzięki niskiemu napięciu powierzchniowemu, preparat cechuje się doskonałymi właściwościami nawilżającymi, przez co skutecznie oczyszcza rany, w tym trudne do oczyszczenia rejony, takie jak kieszonki czy wgłębienia ran. Preparat nie powoduje podrażnienia ani uczulenia. Jego użycie jest bezbolesne i nietoksyczne w stosunku do tkanki. Nie stwierdzono zaburzeń ziarninowania oraz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nabłonkowania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. </w:t>
      </w:r>
    </w:p>
    <w:p w14:paraId="13F602B5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 xml:space="preserve">Wyrób medyczny klasy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IIb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, opakowania a 350ml z końcówką umożliwiającą łatwe stosowanie preparatu /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aplikatorem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zabezpieczającym przed nadmiernym wylewaniem się preparatu podczas stosowania, z odpowiednim przeliczeniem ilości opakowań w wierszu 4.</w:t>
      </w:r>
    </w:p>
    <w:p w14:paraId="5FD290D3" w14:textId="77777777" w:rsidR="003A5B33" w:rsidRPr="003A5B33" w:rsidRDefault="003A5B33" w:rsidP="003A5B3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 Zgodnie  z SIWZ.</w:t>
      </w:r>
    </w:p>
    <w:p w14:paraId="37A2D9F3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6 poz. 2</w:t>
      </w:r>
    </w:p>
    <w:p w14:paraId="7D901F7B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 xml:space="preserve">Czy Zamawiający wyrazi zgodę na zaoferowanie na zaoferowanie gotowego preparatu nie wymagającego spłukiwania, zawierającego 17,4 propan-2-olu i 12,6g etanolu, przeznaczonego do dezynfekcji powierzchni wyrobów medycznych we wszystkich obszarach podwyższonego ryzyka, gdzie wymagana jest szybkość działania i szeroka kompatybilność materiałowa np. powierzchnie aparatury specjalistycznej, wyświetlacze, klawiatury, panele obsługi i ekrany dotykowe wrażliwych sprzętów medycznych. Preparat może być stosowany do dezynfekcji głowic sond USG, wykazuje skuteczność, bakteriobójczą,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bójczą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wobec prątków gruźlicy,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drożdżakobójczą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oraz wobec wirusów (HIV, HBV, HCV, Noro,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Polyoma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SV40, Rota) w czasie do 5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minu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. Wyrób medyczny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kl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IIa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>, w opakowaniach a 1L ze spryskiwaczem (możliwość zwykłego rozprysku lub piany), z odpowiednim przeliczeniem ilości opakowań? Produkt nie niszczy powierzchni, nie ma drażniącego zapachu, nie pozostawia na powierzchni smug i nalotu.</w:t>
      </w:r>
    </w:p>
    <w:p w14:paraId="1D14BA94" w14:textId="77777777" w:rsidR="003A5B33" w:rsidRPr="003A5B33" w:rsidRDefault="003A5B33" w:rsidP="003A5B3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 Zgodnie  z SIWZ.</w:t>
      </w:r>
    </w:p>
    <w:p w14:paraId="11B0AA4C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Zadanie 6 poz. 3</w:t>
      </w:r>
    </w:p>
    <w:p w14:paraId="4181CE72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 xml:space="preserve">Czy Zamawiający wyrazi zgodę na zaoferowanie na zaoferowanie chusteczek nie wymagających spłukiwania, nasączonych płynem zawierającym 17,4 propan-2-olu i 12,6g etanolu, przeznaczonego do dezynfekcji powierzchni wyrobów medycznych we wszystkich obszarach podwyższonego ryzyka, gdzie wymagana jest szybkość działania i szeroka kompatybilność materiałowa np. powierzchnie aparatury specjalistycznej, wyświetlacze, klawiatury, panele obsługi i ekrany dotykowe wrażliwych sprzętów medycznych. Preparat może być stosowany do dezynfekcji głowic sond USG, wykazuje skuteczność, bakteriobójczą,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bójczą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wobec prątków gruźlicy,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drożdżakobójczą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oraz wobec wirusów (HIV, HBV, HCV, Noro,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Polyoma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SV40, Rota) w czasie do 5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lastRenderedPageBreak/>
        <w:t>minu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. Wyrób medyczny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kl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IIa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, w opakowaniach typu </w:t>
      </w:r>
      <w:proofErr w:type="spellStart"/>
      <w:r w:rsidRPr="003A5B33">
        <w:rPr>
          <w:rFonts w:eastAsia="Times New Roman" w:cs="Times New Roman"/>
          <w:sz w:val="22"/>
          <w:szCs w:val="22"/>
          <w:lang w:eastAsia="pl-PL"/>
        </w:rPr>
        <w:t>soft-pack</w:t>
      </w:r>
      <w:proofErr w:type="spellEnd"/>
      <w:r w:rsidRPr="003A5B33">
        <w:rPr>
          <w:rFonts w:eastAsia="Times New Roman" w:cs="Times New Roman"/>
          <w:sz w:val="22"/>
          <w:szCs w:val="22"/>
          <w:lang w:eastAsia="pl-PL"/>
        </w:rPr>
        <w:t xml:space="preserve"> a 100 szt. chusteczek (możliwość wielokrotnego otwierania i zamykania opakowania)? Produkt nie niszczy powierzchni, nie ma drażniącego zapachu, nie pozostawia na powierzchni smug i nalotu oraz jest przebadany m.in. zgodnie z EN 16615.</w:t>
      </w:r>
    </w:p>
    <w:p w14:paraId="2BD9C508" w14:textId="77777777" w:rsidR="003A5B33" w:rsidRPr="003A5B33" w:rsidRDefault="003A5B33" w:rsidP="003A5B3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 Zgodnie  z SIWZ.</w:t>
      </w:r>
    </w:p>
    <w:p w14:paraId="301D2C3D" w14:textId="77777777" w:rsidR="003A5B33" w:rsidRPr="003A5B33" w:rsidRDefault="003A5B33" w:rsidP="003A5B33">
      <w:pPr>
        <w:pStyle w:val="Akapitzlist"/>
        <w:numPr>
          <w:ilvl w:val="0"/>
          <w:numId w:val="50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bCs/>
          <w:sz w:val="22"/>
          <w:szCs w:val="22"/>
          <w:lang w:eastAsia="pl-PL"/>
        </w:rPr>
        <w:t>Pytanie ogólne:</w:t>
      </w:r>
    </w:p>
    <w:p w14:paraId="6A36ED42" w14:textId="77777777" w:rsidR="003A5B33" w:rsidRPr="003A5B33" w:rsidRDefault="003A5B33" w:rsidP="003A5B33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A5B33">
        <w:rPr>
          <w:rFonts w:eastAsia="Times New Roman" w:cs="Times New Roman"/>
          <w:sz w:val="22"/>
          <w:szCs w:val="22"/>
          <w:lang w:eastAsia="pl-PL"/>
        </w:rPr>
        <w:t xml:space="preserve">W przypadku ułamkowej ilości opakowań, prosimy o dookreślenie czy wycenić ułamkową ilość opakowań, zaokrąglić w  górę, czy postępować zgodnie z zasadami matematyki?   </w:t>
      </w:r>
    </w:p>
    <w:p w14:paraId="5838F9A8" w14:textId="77777777" w:rsidR="003A5B33" w:rsidRPr="003A5B33" w:rsidRDefault="003A5B33" w:rsidP="003A5B3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3A5B33">
        <w:rPr>
          <w:rFonts w:eastAsia="Times New Roman" w:cs="Times New Roman"/>
          <w:b/>
          <w:sz w:val="22"/>
          <w:szCs w:val="22"/>
          <w:lang w:eastAsia="pl-PL"/>
        </w:rPr>
        <w:t>Odp. W takim przypadku Zamawiający prosi o zaokrąglenie ilości opakowań, w górę.</w:t>
      </w:r>
    </w:p>
    <w:p w14:paraId="6DD2CB57" w14:textId="77777777" w:rsidR="006A4820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6D711C" w14:textId="00A47E3B" w:rsidR="00A20E60" w:rsidRPr="00CE29AA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2C9C">
        <w:rPr>
          <w:rFonts w:eastAsia="Times New Roman" w:cs="Times New Roman"/>
          <w:sz w:val="22"/>
          <w:szCs w:val="22"/>
          <w:lang w:eastAsia="pl-PL"/>
        </w:rPr>
        <w:t>Powyższe wyjaśnienia treści SIWZ zostały dokonane zgodnie z art. 38 Ustawy Prawo Zamówień Publicznych z dnia 29 stycznia 2004 roku i są dla Wykonawców wiążące.</w:t>
      </w:r>
    </w:p>
    <w:p w14:paraId="6324ECE7" w14:textId="77777777" w:rsidR="00193671" w:rsidRDefault="001936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2114195F" w:rsidR="00A20E60" w:rsidRPr="00CE29AA" w:rsidRDefault="007C4E5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E29AA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7E75A0DD" w14:textId="5A5851AC" w:rsidR="00123DE6" w:rsidRPr="00CE29AA" w:rsidRDefault="00A20E60" w:rsidP="00783F3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 w:rsidRPr="00CE29AA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123DE6" w:rsidRPr="00CE29AA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A8A65" w14:textId="77777777" w:rsidR="0038287B" w:rsidRDefault="0038287B" w:rsidP="00BB1BD7">
      <w:r>
        <w:separator/>
      </w:r>
    </w:p>
  </w:endnote>
  <w:endnote w:type="continuationSeparator" w:id="0">
    <w:p w14:paraId="6081BDDD" w14:textId="77777777" w:rsidR="0038287B" w:rsidRDefault="0038287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B48A" w14:textId="77777777" w:rsidR="0038287B" w:rsidRDefault="0038287B" w:rsidP="00BB1BD7">
      <w:r>
        <w:separator/>
      </w:r>
    </w:p>
  </w:footnote>
  <w:footnote w:type="continuationSeparator" w:id="0">
    <w:p w14:paraId="7BB0A45C" w14:textId="77777777" w:rsidR="0038287B" w:rsidRDefault="0038287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5F9"/>
    <w:multiLevelType w:val="hybridMultilevel"/>
    <w:tmpl w:val="7F7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174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08F"/>
    <w:multiLevelType w:val="hybridMultilevel"/>
    <w:tmpl w:val="FC66847A"/>
    <w:lvl w:ilvl="0" w:tplc="0C76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B6E32"/>
    <w:multiLevelType w:val="hybridMultilevel"/>
    <w:tmpl w:val="F86CE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E1122"/>
    <w:multiLevelType w:val="hybridMultilevel"/>
    <w:tmpl w:val="E5AC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50094"/>
    <w:multiLevelType w:val="hybridMultilevel"/>
    <w:tmpl w:val="9AE61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D45A0"/>
    <w:multiLevelType w:val="hybridMultilevel"/>
    <w:tmpl w:val="9A9E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765"/>
    <w:multiLevelType w:val="hybridMultilevel"/>
    <w:tmpl w:val="771025B4"/>
    <w:lvl w:ilvl="0" w:tplc="8B269F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84240"/>
    <w:multiLevelType w:val="hybridMultilevel"/>
    <w:tmpl w:val="B1D602D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6875B94"/>
    <w:multiLevelType w:val="hybridMultilevel"/>
    <w:tmpl w:val="8130A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0E2C2B"/>
    <w:multiLevelType w:val="hybridMultilevel"/>
    <w:tmpl w:val="CB9CC23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30368"/>
    <w:multiLevelType w:val="hybridMultilevel"/>
    <w:tmpl w:val="9304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365F94"/>
    <w:multiLevelType w:val="hybridMultilevel"/>
    <w:tmpl w:val="4F689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824C8"/>
    <w:multiLevelType w:val="hybridMultilevel"/>
    <w:tmpl w:val="0F22C7A0"/>
    <w:lvl w:ilvl="0" w:tplc="5462C30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BE6ED6"/>
    <w:multiLevelType w:val="hybridMultilevel"/>
    <w:tmpl w:val="1932D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260B1"/>
    <w:multiLevelType w:val="hybridMultilevel"/>
    <w:tmpl w:val="97E0D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95BCF"/>
    <w:multiLevelType w:val="hybridMultilevel"/>
    <w:tmpl w:val="F57E8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597EE1"/>
    <w:multiLevelType w:val="hybridMultilevel"/>
    <w:tmpl w:val="A084787E"/>
    <w:lvl w:ilvl="0" w:tplc="9C1A03B4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B805919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F5D01"/>
    <w:multiLevelType w:val="hybridMultilevel"/>
    <w:tmpl w:val="EF00972E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34148C"/>
    <w:multiLevelType w:val="hybridMultilevel"/>
    <w:tmpl w:val="C4489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33ED6"/>
    <w:multiLevelType w:val="hybridMultilevel"/>
    <w:tmpl w:val="AF6C7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485F3B"/>
    <w:multiLevelType w:val="hybridMultilevel"/>
    <w:tmpl w:val="4A7CF85E"/>
    <w:lvl w:ilvl="0" w:tplc="BA9A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4A4A4C82"/>
    <w:multiLevelType w:val="hybridMultilevel"/>
    <w:tmpl w:val="B27E3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3B2F8C"/>
    <w:multiLevelType w:val="hybridMultilevel"/>
    <w:tmpl w:val="207EF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86AC8"/>
    <w:multiLevelType w:val="hybridMultilevel"/>
    <w:tmpl w:val="7A00A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1F61EF"/>
    <w:multiLevelType w:val="hybridMultilevel"/>
    <w:tmpl w:val="09066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273171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B3FE9"/>
    <w:multiLevelType w:val="multilevel"/>
    <w:tmpl w:val="FBE2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0428DA"/>
    <w:multiLevelType w:val="hybridMultilevel"/>
    <w:tmpl w:val="AAF4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E702B"/>
    <w:multiLevelType w:val="hybridMultilevel"/>
    <w:tmpl w:val="021E7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690DB4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401E7"/>
    <w:multiLevelType w:val="hybridMultilevel"/>
    <w:tmpl w:val="B50AF7E0"/>
    <w:lvl w:ilvl="0" w:tplc="DC9CD0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7437DD"/>
    <w:multiLevelType w:val="hybridMultilevel"/>
    <w:tmpl w:val="208048DE"/>
    <w:lvl w:ilvl="0" w:tplc="F93C16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82242"/>
    <w:multiLevelType w:val="hybridMultilevel"/>
    <w:tmpl w:val="29DEA3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87407F"/>
    <w:multiLevelType w:val="hybridMultilevel"/>
    <w:tmpl w:val="D102DED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4D7127"/>
    <w:multiLevelType w:val="hybridMultilevel"/>
    <w:tmpl w:val="4D703F96"/>
    <w:lvl w:ilvl="0" w:tplc="20329A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CE3183"/>
    <w:multiLevelType w:val="hybridMultilevel"/>
    <w:tmpl w:val="29367D02"/>
    <w:lvl w:ilvl="0" w:tplc="9B326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B2DA9"/>
    <w:multiLevelType w:val="hybridMultilevel"/>
    <w:tmpl w:val="C538A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0C57F8"/>
    <w:multiLevelType w:val="hybridMultilevel"/>
    <w:tmpl w:val="51FC93FC"/>
    <w:lvl w:ilvl="0" w:tplc="C8C4B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026B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522AA"/>
    <w:multiLevelType w:val="hybridMultilevel"/>
    <w:tmpl w:val="F7A4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2D3DAF"/>
    <w:multiLevelType w:val="hybridMultilevel"/>
    <w:tmpl w:val="3F10D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30B98"/>
    <w:multiLevelType w:val="hybridMultilevel"/>
    <w:tmpl w:val="5F84A078"/>
    <w:lvl w:ilvl="0" w:tplc="627A51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C51EB1"/>
    <w:multiLevelType w:val="hybridMultilevel"/>
    <w:tmpl w:val="C7BC2DC0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4"/>
  </w:num>
  <w:num w:numId="3">
    <w:abstractNumId w:val="2"/>
  </w:num>
  <w:num w:numId="4">
    <w:abstractNumId w:val="3"/>
  </w:num>
  <w:num w:numId="5">
    <w:abstractNumId w:val="13"/>
  </w:num>
  <w:num w:numId="6">
    <w:abstractNumId w:val="36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45"/>
  </w:num>
  <w:num w:numId="12">
    <w:abstractNumId w:val="33"/>
  </w:num>
  <w:num w:numId="13">
    <w:abstractNumId w:val="30"/>
  </w:num>
  <w:num w:numId="14">
    <w:abstractNumId w:val="12"/>
  </w:num>
  <w:num w:numId="15">
    <w:abstractNumId w:val="14"/>
  </w:num>
  <w:num w:numId="16">
    <w:abstractNumId w:val="19"/>
  </w:num>
  <w:num w:numId="17">
    <w:abstractNumId w:val="35"/>
  </w:num>
  <w:num w:numId="18">
    <w:abstractNumId w:val="39"/>
  </w:num>
  <w:num w:numId="19">
    <w:abstractNumId w:val="37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4"/>
  </w:num>
  <w:num w:numId="24">
    <w:abstractNumId w:val="20"/>
  </w:num>
  <w:num w:numId="25">
    <w:abstractNumId w:val="31"/>
  </w:num>
  <w:num w:numId="26">
    <w:abstractNumId w:val="23"/>
  </w:num>
  <w:num w:numId="27">
    <w:abstractNumId w:val="25"/>
  </w:num>
  <w:num w:numId="28">
    <w:abstractNumId w:val="38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8"/>
  </w:num>
  <w:num w:numId="34">
    <w:abstractNumId w:val="34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8"/>
  </w:num>
  <w:num w:numId="39">
    <w:abstractNumId w:val="8"/>
  </w:num>
  <w:num w:numId="40">
    <w:abstractNumId w:val="21"/>
  </w:num>
  <w:num w:numId="41">
    <w:abstractNumId w:val="1"/>
  </w:num>
  <w:num w:numId="42">
    <w:abstractNumId w:val="15"/>
  </w:num>
  <w:num w:numId="43">
    <w:abstractNumId w:val="41"/>
  </w:num>
  <w:num w:numId="44">
    <w:abstractNumId w:val="27"/>
  </w:num>
  <w:num w:numId="45">
    <w:abstractNumId w:val="7"/>
  </w:num>
  <w:num w:numId="46">
    <w:abstractNumId w:val="40"/>
  </w:num>
  <w:num w:numId="47">
    <w:abstractNumId w:val="32"/>
  </w:num>
  <w:num w:numId="48">
    <w:abstractNumId w:val="43"/>
  </w:num>
  <w:num w:numId="49">
    <w:abstractNumId w:val="16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7FC8"/>
    <w:rsid w:val="00031876"/>
    <w:rsid w:val="0004026C"/>
    <w:rsid w:val="000419CF"/>
    <w:rsid w:val="00055322"/>
    <w:rsid w:val="00070DCF"/>
    <w:rsid w:val="000C336E"/>
    <w:rsid w:val="000E6889"/>
    <w:rsid w:val="00103820"/>
    <w:rsid w:val="001159D8"/>
    <w:rsid w:val="001162DE"/>
    <w:rsid w:val="00123DE6"/>
    <w:rsid w:val="00157041"/>
    <w:rsid w:val="00174177"/>
    <w:rsid w:val="00181E4A"/>
    <w:rsid w:val="00193671"/>
    <w:rsid w:val="001948FA"/>
    <w:rsid w:val="001C4FF8"/>
    <w:rsid w:val="001E7A66"/>
    <w:rsid w:val="00216E25"/>
    <w:rsid w:val="00221FB0"/>
    <w:rsid w:val="002370AC"/>
    <w:rsid w:val="002505EA"/>
    <w:rsid w:val="00254FE1"/>
    <w:rsid w:val="0028352F"/>
    <w:rsid w:val="002952E6"/>
    <w:rsid w:val="002A5878"/>
    <w:rsid w:val="002C6623"/>
    <w:rsid w:val="002E0B49"/>
    <w:rsid w:val="002E16FD"/>
    <w:rsid w:val="0031111A"/>
    <w:rsid w:val="0032017B"/>
    <w:rsid w:val="00325707"/>
    <w:rsid w:val="00332314"/>
    <w:rsid w:val="00364A06"/>
    <w:rsid w:val="0038287B"/>
    <w:rsid w:val="003A5B33"/>
    <w:rsid w:val="003A6DEA"/>
    <w:rsid w:val="003D6F22"/>
    <w:rsid w:val="003E39E8"/>
    <w:rsid w:val="003E58E9"/>
    <w:rsid w:val="00432076"/>
    <w:rsid w:val="00433933"/>
    <w:rsid w:val="00434E3B"/>
    <w:rsid w:val="00443D86"/>
    <w:rsid w:val="00496495"/>
    <w:rsid w:val="004C7AE7"/>
    <w:rsid w:val="004E08A7"/>
    <w:rsid w:val="004E18D3"/>
    <w:rsid w:val="00500AEA"/>
    <w:rsid w:val="005054EC"/>
    <w:rsid w:val="005162C7"/>
    <w:rsid w:val="0052052D"/>
    <w:rsid w:val="00524D1B"/>
    <w:rsid w:val="00552218"/>
    <w:rsid w:val="0056156F"/>
    <w:rsid w:val="00584EE4"/>
    <w:rsid w:val="00591FD5"/>
    <w:rsid w:val="00594928"/>
    <w:rsid w:val="005E6112"/>
    <w:rsid w:val="00604369"/>
    <w:rsid w:val="0060760B"/>
    <w:rsid w:val="0062269C"/>
    <w:rsid w:val="006258E0"/>
    <w:rsid w:val="00646139"/>
    <w:rsid w:val="006A4820"/>
    <w:rsid w:val="006C39EC"/>
    <w:rsid w:val="006E1F80"/>
    <w:rsid w:val="006E4994"/>
    <w:rsid w:val="006E5948"/>
    <w:rsid w:val="006F0ACF"/>
    <w:rsid w:val="0070292A"/>
    <w:rsid w:val="00714FCC"/>
    <w:rsid w:val="00753611"/>
    <w:rsid w:val="007606FA"/>
    <w:rsid w:val="00775A31"/>
    <w:rsid w:val="00783F3E"/>
    <w:rsid w:val="007C4E51"/>
    <w:rsid w:val="007D04AC"/>
    <w:rsid w:val="007E114A"/>
    <w:rsid w:val="007E3AD1"/>
    <w:rsid w:val="008037A9"/>
    <w:rsid w:val="008065C2"/>
    <w:rsid w:val="008442BE"/>
    <w:rsid w:val="008A517B"/>
    <w:rsid w:val="008C4B8E"/>
    <w:rsid w:val="008D53D1"/>
    <w:rsid w:val="008E654C"/>
    <w:rsid w:val="008E69BB"/>
    <w:rsid w:val="008E78DC"/>
    <w:rsid w:val="008F258B"/>
    <w:rsid w:val="00914F55"/>
    <w:rsid w:val="009150D1"/>
    <w:rsid w:val="00932B34"/>
    <w:rsid w:val="00936A2B"/>
    <w:rsid w:val="009642AF"/>
    <w:rsid w:val="00967B69"/>
    <w:rsid w:val="0097501D"/>
    <w:rsid w:val="009964E5"/>
    <w:rsid w:val="009A7CAC"/>
    <w:rsid w:val="009B44C6"/>
    <w:rsid w:val="009C27EF"/>
    <w:rsid w:val="009E0124"/>
    <w:rsid w:val="00A011A9"/>
    <w:rsid w:val="00A20E60"/>
    <w:rsid w:val="00A84064"/>
    <w:rsid w:val="00AA35DE"/>
    <w:rsid w:val="00AA5E75"/>
    <w:rsid w:val="00AB0134"/>
    <w:rsid w:val="00AB37BC"/>
    <w:rsid w:val="00AD1C87"/>
    <w:rsid w:val="00AE5A17"/>
    <w:rsid w:val="00AF299D"/>
    <w:rsid w:val="00AF466B"/>
    <w:rsid w:val="00AF64C3"/>
    <w:rsid w:val="00B06AF4"/>
    <w:rsid w:val="00B10F26"/>
    <w:rsid w:val="00B17B7B"/>
    <w:rsid w:val="00B37888"/>
    <w:rsid w:val="00B70D84"/>
    <w:rsid w:val="00B8691C"/>
    <w:rsid w:val="00B965D4"/>
    <w:rsid w:val="00BB1BD7"/>
    <w:rsid w:val="00BF4041"/>
    <w:rsid w:val="00BF4C71"/>
    <w:rsid w:val="00C54B6F"/>
    <w:rsid w:val="00C56AC0"/>
    <w:rsid w:val="00C779EC"/>
    <w:rsid w:val="00C87C29"/>
    <w:rsid w:val="00CC0C89"/>
    <w:rsid w:val="00CC24A9"/>
    <w:rsid w:val="00CD75AD"/>
    <w:rsid w:val="00CE29AA"/>
    <w:rsid w:val="00CF1121"/>
    <w:rsid w:val="00CF2EC0"/>
    <w:rsid w:val="00D10B9F"/>
    <w:rsid w:val="00D210D4"/>
    <w:rsid w:val="00D3362A"/>
    <w:rsid w:val="00D356A9"/>
    <w:rsid w:val="00D36943"/>
    <w:rsid w:val="00D51941"/>
    <w:rsid w:val="00D53918"/>
    <w:rsid w:val="00D53D08"/>
    <w:rsid w:val="00D74831"/>
    <w:rsid w:val="00DA1F8F"/>
    <w:rsid w:val="00DB0A1E"/>
    <w:rsid w:val="00DC74A1"/>
    <w:rsid w:val="00DD47B8"/>
    <w:rsid w:val="00E04646"/>
    <w:rsid w:val="00E070D4"/>
    <w:rsid w:val="00E20375"/>
    <w:rsid w:val="00E20E09"/>
    <w:rsid w:val="00E22ED0"/>
    <w:rsid w:val="00E2540A"/>
    <w:rsid w:val="00E704F1"/>
    <w:rsid w:val="00EA0C9D"/>
    <w:rsid w:val="00EB31D4"/>
    <w:rsid w:val="00EB32E1"/>
    <w:rsid w:val="00EC132B"/>
    <w:rsid w:val="00ED1C05"/>
    <w:rsid w:val="00EF4641"/>
    <w:rsid w:val="00F0345D"/>
    <w:rsid w:val="00F17AB9"/>
    <w:rsid w:val="00F44E04"/>
    <w:rsid w:val="00F451F1"/>
    <w:rsid w:val="00FA2A63"/>
    <w:rsid w:val="00FA3F6D"/>
    <w:rsid w:val="00FD15FD"/>
    <w:rsid w:val="00FD1A0F"/>
    <w:rsid w:val="00FF2C9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7C6E5-AA38-44E7-AAF5-702058F9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</cp:revision>
  <cp:lastPrinted>2020-08-17T07:32:00Z</cp:lastPrinted>
  <dcterms:created xsi:type="dcterms:W3CDTF">2020-08-17T07:27:00Z</dcterms:created>
  <dcterms:modified xsi:type="dcterms:W3CDTF">2020-08-17T07:34:00Z</dcterms:modified>
</cp:coreProperties>
</file>